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新乡医学院附属医院2017年公开招聘工作人员（硕士）一览表</w:t>
      </w:r>
    </w:p>
    <w:tbl>
      <w:tblPr>
        <w:tblW w:w="85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232"/>
        <w:gridCol w:w="881"/>
        <w:gridCol w:w="1963"/>
        <w:gridCol w:w="29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C0C0C"/>
                <w:sz w:val="22"/>
                <w:szCs w:val="22"/>
              </w:rPr>
              <w:t>序号</w:t>
            </w:r>
          </w:p>
        </w:tc>
        <w:tc>
          <w:tcPr>
            <w:tcW w:w="2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C0C0C"/>
                <w:sz w:val="22"/>
                <w:szCs w:val="22"/>
              </w:rPr>
              <w:t>招 聘 专 业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C0C0C"/>
                <w:sz w:val="22"/>
                <w:szCs w:val="22"/>
              </w:rPr>
              <w:t>招聘人数</w:t>
            </w:r>
          </w:p>
        </w:tc>
        <w:tc>
          <w:tcPr>
            <w:tcW w:w="196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C0C0C"/>
                <w:sz w:val="22"/>
                <w:szCs w:val="22"/>
              </w:rPr>
              <w:t>学 历 要 求</w:t>
            </w:r>
          </w:p>
        </w:tc>
        <w:tc>
          <w:tcPr>
            <w:tcW w:w="2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C0C0C"/>
                <w:sz w:val="22"/>
                <w:szCs w:val="22"/>
              </w:rPr>
              <w:t>备   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1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2"/>
                <w:szCs w:val="22"/>
              </w:rPr>
              <w:t>新乡医学院第一附属医院（硕士毕业生14人）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内科学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外科学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儿科学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神经病学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麻醉学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2"/>
                <w:szCs w:val="22"/>
              </w:rPr>
              <w:t>新乡医学院第二附属医院（硕士毕业生11人）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精神病与精神卫生学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神经病学/内科学/          急诊医学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流行病与卫生统计学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1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2"/>
                <w:szCs w:val="22"/>
              </w:rPr>
              <w:t>新乡医学院第三附属医院（硕士毕业生6人）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临床医学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普通高等教育硕士毕业生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1.第一学历为普通高等教育本科；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0"/>
                <w:szCs w:val="20"/>
              </w:rPr>
              <w:t>2.本、硕专业均为招聘专业或相近专业。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B6688"/>
    <w:rsid w:val="636C6580"/>
    <w:rsid w:val="78B13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大脸加菲猫</cp:lastModifiedBy>
  <dcterms:modified xsi:type="dcterms:W3CDTF">2017-11-30T03:01:57Z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