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40"/>
        <w:gridCol w:w="640"/>
        <w:gridCol w:w="1760"/>
        <w:gridCol w:w="1580"/>
        <w:gridCol w:w="1280"/>
        <w:gridCol w:w="1280"/>
        <w:gridCol w:w="2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Arial" w:hAnsi="Arial" w:cs="Arial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2018年用人需求汇总表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464646"/>
                <w:spacing w:val="0"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464646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464646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464646"/>
                <w:spacing w:val="0"/>
                <w:sz w:val="20"/>
                <w:szCs w:val="20"/>
                <w:bdr w:val="none" w:color="auto" w:sz="0" w:space="0"/>
              </w:rPr>
              <w:t>是否 　应届</w:t>
            </w:r>
          </w:p>
        </w:tc>
        <w:tc>
          <w:tcPr>
            <w:tcW w:w="1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464646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464646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/>
                <w:i w:val="0"/>
                <w:caps w:val="0"/>
                <w:color w:val="464646"/>
                <w:spacing w:val="0"/>
                <w:sz w:val="20"/>
                <w:szCs w:val="20"/>
                <w:bdr w:val="none" w:color="auto" w:sz="0" w:space="0"/>
              </w:rPr>
              <w:t>用工类型</w:t>
            </w:r>
          </w:p>
        </w:tc>
        <w:tc>
          <w:tcPr>
            <w:tcW w:w="2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/>
                <w:i w:val="0"/>
                <w:caps w:val="0"/>
                <w:color w:val="464646"/>
                <w:spacing w:val="0"/>
                <w:sz w:val="20"/>
                <w:szCs w:val="20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医务处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皮肤病与性病学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进编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皮肤病与性病学、外科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进编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整形外科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进编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过敏与风湿免疫科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临床医学内科相关专业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理疗科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B超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影像医学（B超诊断方向）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具备相关执业证书，硕士及有工作经验者优先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X线、CT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影像医学（X线、CT诊断）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药物研究室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I期临床研究医生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具有执业医师执照及经规培者优先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进编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合同制（固定工资）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病理技术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医学检验或病理技术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合同制（固定工资）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检验科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性病科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化验室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合同制（固定工资）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临床药理及化妆品检测中心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化妆品行政许可检验机构检测人员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合同制（固定工资）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性病临床防治室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性病综合防治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流行病学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流行病学室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性病疫情监测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流行病学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中心办公室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中心办公室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公共卫生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中心实验室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组织库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分子生物学相关专业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合同制（固定工资）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研究助理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分子生物学相关专业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研究助理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党政办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办公室工作人员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中文、卫生管理、新闻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有媒体工作经验优先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科教处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卫生事业管理或行政管理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医务处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社会工作部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卫生管理、心理学等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有较强的语言表达、沟通交流能力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激光科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医疗文案管理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卫生管理、护理、档案管理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合同制（固定工资）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财务处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财经等专业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熟练运用办公软件，有一定的文字功底，“双一流”大学优先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信息管理处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网络中心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计算机及相关专业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图书馆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毕业三年以内，含应届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图书管理或医学信息管理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合同制（固定工资）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46464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46464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64646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464646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2017-12-06T03:07:15Z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