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0" w:type="dxa"/>
        <w:tblCellSpacing w:w="7" w:type="dxa"/>
        <w:tblInd w:w="0" w:type="dxa"/>
        <w:shd w:val="clear"/>
        <w:tblLayout w:type="fixed"/>
        <w:tblCellMar>
          <w:top w:w="0" w:type="dxa"/>
          <w:left w:w="0" w:type="dxa"/>
          <w:bottom w:w="0" w:type="dxa"/>
          <w:right w:w="0" w:type="dxa"/>
        </w:tblCellMar>
      </w:tblPr>
      <w:tblGrid>
        <w:gridCol w:w="225"/>
        <w:gridCol w:w="592"/>
        <w:gridCol w:w="699"/>
        <w:gridCol w:w="291"/>
        <w:gridCol w:w="2498"/>
        <w:gridCol w:w="4025"/>
      </w:tblGrid>
      <w:tr>
        <w:tblPrEx>
          <w:shd w:val="clear"/>
          <w:tblLayout w:type="fixed"/>
          <w:tblCellMar>
            <w:top w:w="0" w:type="dxa"/>
            <w:left w:w="0" w:type="dxa"/>
            <w:bottom w:w="0" w:type="dxa"/>
            <w:right w:w="0" w:type="dxa"/>
          </w:tblCellMar>
        </w:tblPrEx>
        <w:trPr>
          <w:tblCellSpacing w:w="7" w:type="dxa"/>
        </w:trPr>
        <w:tc>
          <w:tcPr>
            <w:tcW w:w="8300" w:type="dxa"/>
            <w:gridSpan w:val="6"/>
            <w:shd w:val="clear"/>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2017新合社区卫生服务中心合同制工作人员招聘岗位需求表</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序号</w:t>
            </w:r>
          </w:p>
        </w:tc>
        <w:tc>
          <w:tcPr>
            <w:tcW w:w="580"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需求</w:t>
            </w:r>
            <w:r>
              <w:rPr>
                <w:rFonts w:hint="eastAsia" w:ascii="微软雅黑" w:hAnsi="微软雅黑" w:eastAsia="微软雅黑" w:cs="微软雅黑"/>
                <w:b/>
                <w:color w:val="555555"/>
                <w:kern w:val="0"/>
                <w:sz w:val="18"/>
                <w:szCs w:val="18"/>
                <w:bdr w:val="none" w:color="auto" w:sz="0" w:space="0"/>
                <w:lang w:val="en-US" w:eastAsia="zh-CN" w:bidi="ar"/>
              </w:rPr>
              <w:br w:type="textWrapping"/>
            </w:r>
            <w:r>
              <w:rPr>
                <w:rFonts w:hint="eastAsia" w:ascii="微软雅黑" w:hAnsi="微软雅黑" w:eastAsia="微软雅黑" w:cs="微软雅黑"/>
                <w:b/>
                <w:color w:val="555555"/>
                <w:kern w:val="0"/>
                <w:sz w:val="18"/>
                <w:szCs w:val="18"/>
                <w:bdr w:val="none" w:color="auto" w:sz="0" w:space="0"/>
                <w:lang w:val="en-US" w:eastAsia="zh-CN" w:bidi="ar"/>
              </w:rPr>
              <w:t>科室</w:t>
            </w:r>
          </w:p>
        </w:tc>
        <w:tc>
          <w:tcPr>
            <w:tcW w:w="687"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需求岗位</w:t>
            </w:r>
          </w:p>
        </w:tc>
        <w:tc>
          <w:tcPr>
            <w:tcW w:w="279"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需求人数</w:t>
            </w:r>
          </w:p>
        </w:tc>
        <w:tc>
          <w:tcPr>
            <w:tcW w:w="248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岗位职责</w:t>
            </w:r>
          </w:p>
        </w:tc>
        <w:tc>
          <w:tcPr>
            <w:tcW w:w="4004"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任职条件</w:t>
            </w:r>
          </w:p>
        </w:tc>
      </w:tr>
      <w:tr>
        <w:tblPrEx>
          <w:shd w:val="clear"/>
          <w:tblLayout w:type="fixed"/>
          <w:tblCellMar>
            <w:top w:w="0" w:type="dxa"/>
            <w:left w:w="0" w:type="dxa"/>
            <w:bottom w:w="0" w:type="dxa"/>
            <w:right w:w="0" w:type="dxa"/>
          </w:tblCellMar>
        </w:tblPrEx>
        <w:trPr>
          <w:tblCellSpacing w:w="7" w:type="dxa"/>
        </w:trPr>
        <w:tc>
          <w:tcPr>
            <w:tcW w:w="204" w:type="dxa"/>
            <w:vMerge w:val="restart"/>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580" w:type="dxa"/>
            <w:vMerge w:val="restart"/>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公共卫生科</w:t>
            </w:r>
            <w:r>
              <w:rPr>
                <w:rFonts w:hint="eastAsia" w:ascii="微软雅黑" w:hAnsi="微软雅黑" w:eastAsia="微软雅黑" w:cs="微软雅黑"/>
                <w:color w:val="555555"/>
                <w:kern w:val="0"/>
                <w:sz w:val="18"/>
                <w:szCs w:val="18"/>
                <w:bdr w:val="none" w:color="auto" w:sz="0" w:space="0"/>
                <w:lang w:val="en-US" w:eastAsia="zh-CN" w:bidi="ar"/>
              </w:rPr>
              <w:br w:type="textWrapping"/>
            </w:r>
            <w:r>
              <w:rPr>
                <w:rFonts w:hint="eastAsia" w:ascii="微软雅黑" w:hAnsi="微软雅黑" w:eastAsia="微软雅黑" w:cs="微软雅黑"/>
                <w:color w:val="555555"/>
                <w:kern w:val="0"/>
                <w:sz w:val="18"/>
                <w:szCs w:val="18"/>
                <w:bdr w:val="none" w:color="auto" w:sz="0" w:space="0"/>
                <w:lang w:val="en-US" w:eastAsia="zh-CN" w:bidi="ar"/>
              </w:rPr>
              <w:t>（9人）</w:t>
            </w: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计划免疫岗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4</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按照规范开展免疫接种，收集完善计划免疫相关资料；制作疫苗采供计划，做好疫苗出入库管理；主动搜索新生儿童并建证建卡，及时接种（补种）疫苗；开展计划免疫接种率报告和异常反应接种报告。</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35岁及以下，大专及以上学历，医学类专业，初级（士）及以上职称。有乡镇卫生院或社区卫生服务中心计划免疫管理工作经验者优先，担任计划免疫科科长2年以上者年龄可放宽至40岁。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580" w:type="dxa"/>
            <w:vMerge w:val="continue"/>
            <w:shd w:val="clear"/>
            <w:vAlign w:val="center"/>
          </w:tcPr>
          <w:p>
            <w:pPr>
              <w:rPr>
                <w:rFonts w:hint="eastAsia" w:ascii="微软雅黑" w:hAnsi="微软雅黑" w:eastAsia="微软雅黑" w:cs="微软雅黑"/>
                <w:color w:val="555555"/>
                <w:sz w:val="18"/>
                <w:szCs w:val="18"/>
              </w:rPr>
            </w:pP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妇女保健岗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制定年度妇女保健和计划生育工作计划，开展孕产妇健康管理；开展孕产妇高危筛查；开展婚前、孕前检查健康宣传；对乡村医生进行妇女保健业务指导和考核。</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35岁及以下，大专及以上学历，医学类专业，初级（士）及以上职称，有妇幼专科医院、乡镇卫生院或社区卫生服务中心妇幼保健管理工作经验者优先，中级及以上职称者年龄可放宽至40岁。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580" w:type="dxa"/>
            <w:vMerge w:val="continue"/>
            <w:shd w:val="clear"/>
            <w:vAlign w:val="center"/>
          </w:tcPr>
          <w:p>
            <w:pPr>
              <w:rPr>
                <w:rFonts w:hint="eastAsia" w:ascii="微软雅黑" w:hAnsi="微软雅黑" w:eastAsia="微软雅黑" w:cs="微软雅黑"/>
                <w:color w:val="555555"/>
                <w:sz w:val="18"/>
                <w:szCs w:val="18"/>
              </w:rPr>
            </w:pP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结核病管理岗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承担结核门诊相关工作任务；制定结核病管理年度工作计划，开展结核病病人发现、推荐、管理工作；开展结核病人服药管理工作；对乡村医生进行结核病管理业务指导和考核。</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临床医学专业或公共卫生专业，呼吸内科、传染病学、重症医学临床助理执业医师或公共卫生助理执业医师及以上资格，熟悉传染病管理相关法律法规，有乡镇卫生院或社区卫生服务中心传染病管理1年以上工作经验者优先，有传染病专科医院或疾控中心传染病管理工作经验或中级及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580" w:type="dxa"/>
            <w:vMerge w:val="continue"/>
            <w:shd w:val="clear"/>
            <w:vAlign w:val="center"/>
          </w:tcPr>
          <w:p>
            <w:pPr>
              <w:rPr>
                <w:rFonts w:hint="eastAsia" w:ascii="微软雅黑" w:hAnsi="微软雅黑" w:eastAsia="微软雅黑" w:cs="微软雅黑"/>
                <w:color w:val="555555"/>
                <w:sz w:val="18"/>
                <w:szCs w:val="18"/>
              </w:rPr>
            </w:pP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传染病管理岗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制定传染病管理年度工作计划；开展传染病监测、随访、流调、上报工作；对学校、托幼机构、单位进行传染病宣传和防控指导；对乡村医生进行传染病管理业务指导和考核。</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医学类专业，初级（士）及以上职称，熟悉传染病管理相关法律法规，有乡镇卫生院或社区卫生服务中心传染病管理1年以上工作经验者优先，有传染病专科医院或疾控中心传染病管理工作经验或中级及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580" w:type="dxa"/>
            <w:vMerge w:val="continue"/>
            <w:shd w:val="clear"/>
            <w:vAlign w:val="center"/>
          </w:tcPr>
          <w:p>
            <w:pPr>
              <w:rPr>
                <w:rFonts w:hint="eastAsia" w:ascii="微软雅黑" w:hAnsi="微软雅黑" w:eastAsia="微软雅黑" w:cs="微软雅黑"/>
                <w:color w:val="555555"/>
                <w:sz w:val="18"/>
                <w:szCs w:val="18"/>
              </w:rPr>
            </w:pP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慢性病管理岗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对高血压、糖尿病、脑卒中等慢性病患者进行规范化管理，开展季度面对面随访；开展慢性病健康管理宣传；开展死亡原因调查等；对乡村医生进行慢性病业务指导和考核。</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35岁及以下，大专及以上学历，医学类专业，初级（士）及以上职称，有乡镇卫生院或社区卫生服务中心1年以上慢性病管理工作经验者优先，中级及以上职称者年龄可放宽至40岁。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580" w:type="dxa"/>
            <w:vMerge w:val="continue"/>
            <w:shd w:val="clear"/>
            <w:vAlign w:val="center"/>
          </w:tcPr>
          <w:p>
            <w:pPr>
              <w:rPr>
                <w:rFonts w:hint="eastAsia" w:ascii="微软雅黑" w:hAnsi="微软雅黑" w:eastAsia="微软雅黑" w:cs="微软雅黑"/>
                <w:color w:val="555555"/>
                <w:sz w:val="18"/>
                <w:szCs w:val="18"/>
              </w:rPr>
            </w:pP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精神卫生岗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制定精神卫生管理年度工作计划；对重型精神疾病患者进行搜索、建档、随访、管理；指导家属开展家庭护理；开展精神卫生健康宣传；对乡村医生进行重型精神疾病管理业务指导和考核。</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医学类专业，初级（士）及以上职称，熟悉精神卫生管理相关法律法规，持有“心理咨询师”证书者优先，精神卫生专业毕业或有精神卫生转岗培训合格证或中级及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restart"/>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2</w:t>
            </w:r>
          </w:p>
        </w:tc>
        <w:tc>
          <w:tcPr>
            <w:tcW w:w="580" w:type="dxa"/>
            <w:vMerge w:val="restart"/>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全科诊室</w:t>
            </w:r>
            <w:r>
              <w:rPr>
                <w:rFonts w:hint="eastAsia" w:ascii="微软雅黑" w:hAnsi="微软雅黑" w:eastAsia="微软雅黑" w:cs="微软雅黑"/>
                <w:color w:val="555555"/>
                <w:kern w:val="0"/>
                <w:sz w:val="18"/>
                <w:szCs w:val="18"/>
                <w:bdr w:val="none" w:color="auto" w:sz="0" w:space="0"/>
                <w:lang w:val="en-US" w:eastAsia="zh-CN" w:bidi="ar"/>
              </w:rPr>
              <w:br w:type="textWrapping"/>
            </w:r>
            <w:r>
              <w:rPr>
                <w:rFonts w:hint="eastAsia" w:ascii="微软雅黑" w:hAnsi="微软雅黑" w:eastAsia="微软雅黑" w:cs="微软雅黑"/>
                <w:color w:val="555555"/>
                <w:kern w:val="0"/>
                <w:sz w:val="18"/>
                <w:szCs w:val="18"/>
                <w:bdr w:val="none" w:color="auto" w:sz="0" w:space="0"/>
                <w:lang w:val="en-US" w:eastAsia="zh-CN" w:bidi="ar"/>
              </w:rPr>
              <w:t>（4人）</w:t>
            </w: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内科（全科）医师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开展内科（全科）常见病、多发病的临床诊疗；开展门诊35岁以上首诊病人测血压；开展高血压、糖尿病等慢性病人筛查、登记、上报工作；开展门诊慢性病随访、慢性病健康教育指导工作；开展传染病上报工作。</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35岁及以下，大专及以上学历，临床专业或全科专业，熟悉《执业医师法》《医疗事故处理条例》《传染病防治法》等法律法规，有二级及以上医疗机构相关专业工作经验或中级职称者年龄可放宽至40岁。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580" w:type="dxa"/>
            <w:vMerge w:val="continue"/>
            <w:shd w:val="clear"/>
            <w:vAlign w:val="center"/>
          </w:tcPr>
          <w:p>
            <w:pPr>
              <w:rPr>
                <w:rFonts w:hint="eastAsia" w:ascii="微软雅黑" w:hAnsi="微软雅黑" w:eastAsia="微软雅黑" w:cs="微软雅黑"/>
                <w:color w:val="555555"/>
                <w:sz w:val="18"/>
                <w:szCs w:val="18"/>
              </w:rPr>
            </w:pP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外科（全科）医师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开展外科（全科）常见病、多发病的临床诊疗；开展门诊35岁以上首诊病人测血压；开展高血压、糖尿病等慢性病人筛查、登记、上报工作；开展门诊慢性病随访、慢性病健康教育指导工作；开展传染病上报工作。</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35岁及以下，大专及以上学历，临床专业或全科专业，熟悉《执业医师法》《医疗事故处理条例》《传染病防治法》等法律法规，有二级及以上医疗机构相关专业工作经验或中级职称者年龄可放宽至40岁。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restart"/>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w:t>
            </w:r>
          </w:p>
        </w:tc>
        <w:tc>
          <w:tcPr>
            <w:tcW w:w="580" w:type="dxa"/>
            <w:vMerge w:val="restart"/>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中医科</w:t>
            </w:r>
            <w:r>
              <w:rPr>
                <w:rFonts w:hint="eastAsia" w:ascii="微软雅黑" w:hAnsi="微软雅黑" w:eastAsia="微软雅黑" w:cs="微软雅黑"/>
                <w:color w:val="555555"/>
                <w:kern w:val="0"/>
                <w:sz w:val="18"/>
                <w:szCs w:val="18"/>
                <w:bdr w:val="none" w:color="auto" w:sz="0" w:space="0"/>
                <w:lang w:val="en-US" w:eastAsia="zh-CN" w:bidi="ar"/>
              </w:rPr>
              <w:br w:type="textWrapping"/>
            </w:r>
            <w:r>
              <w:rPr>
                <w:rFonts w:hint="eastAsia" w:ascii="微软雅黑" w:hAnsi="微软雅黑" w:eastAsia="微软雅黑" w:cs="微软雅黑"/>
                <w:color w:val="555555"/>
                <w:kern w:val="0"/>
                <w:sz w:val="18"/>
                <w:szCs w:val="18"/>
                <w:bdr w:val="none" w:color="auto" w:sz="0" w:space="0"/>
                <w:lang w:val="en-US" w:eastAsia="zh-CN" w:bidi="ar"/>
              </w:rPr>
              <w:t>（3人）</w:t>
            </w: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中医内科医师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2</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运用中医知识开展中医适宜技术，重点运用非药物治疗开展诊疗活动；开展中医保健知识宣传，指导医师团队开展中医保健服务，开展传染病上报工作。</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中医或中西医结合或中医针灸推拿专业，熟悉《执业医师法》《医疗事故处理条例》《传染病防治法》等法律法规，有有中医医院相关专业工作经验或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580" w:type="dxa"/>
            <w:vMerge w:val="continue"/>
            <w:shd w:val="clear"/>
            <w:vAlign w:val="center"/>
          </w:tcPr>
          <w:p>
            <w:pPr>
              <w:rPr>
                <w:rFonts w:hint="eastAsia" w:ascii="微软雅黑" w:hAnsi="微软雅黑" w:eastAsia="微软雅黑" w:cs="微软雅黑"/>
                <w:color w:val="555555"/>
                <w:sz w:val="18"/>
                <w:szCs w:val="18"/>
              </w:rPr>
            </w:pP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中医骨伤医师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运用专业知识开展中医骨伤诊疗工作，开展中医保健知识宣传，指导医师团队开展中医保健服务等。</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35岁及以下，大专及以上学历，中医骨伤专业或中医专业骨伤方向，熟悉《执业医师法》《医疗事故处理条例》《传染病防治法》等法律法规，有中医医院相关专业工作经验或中级职称者年龄可放宽至40岁。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4</w:t>
            </w:r>
          </w:p>
        </w:tc>
        <w:tc>
          <w:tcPr>
            <w:tcW w:w="58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西药房</w:t>
            </w:r>
            <w:r>
              <w:rPr>
                <w:rFonts w:hint="eastAsia" w:ascii="微软雅黑" w:hAnsi="微软雅黑" w:eastAsia="微软雅黑" w:cs="微软雅黑"/>
                <w:color w:val="555555"/>
                <w:kern w:val="0"/>
                <w:sz w:val="18"/>
                <w:szCs w:val="18"/>
                <w:bdr w:val="none" w:color="auto" w:sz="0" w:space="0"/>
                <w:lang w:val="en-US" w:eastAsia="zh-CN" w:bidi="ar"/>
              </w:rPr>
              <w:br w:type="textWrapping"/>
            </w:r>
            <w:r>
              <w:rPr>
                <w:rFonts w:hint="eastAsia" w:ascii="微软雅黑" w:hAnsi="微软雅黑" w:eastAsia="微软雅黑" w:cs="微软雅黑"/>
                <w:color w:val="555555"/>
                <w:kern w:val="0"/>
                <w:sz w:val="18"/>
                <w:szCs w:val="18"/>
                <w:bdr w:val="none" w:color="auto" w:sz="0" w:space="0"/>
                <w:lang w:val="en-US" w:eastAsia="zh-CN" w:bidi="ar"/>
              </w:rPr>
              <w:t>（1人）</w:t>
            </w: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西药师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进行西药管理；制定西药药品进购计划，开展药物不良反应监测；开展药物合理应用管理等。</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35岁及以下，大专及以上学历，药学专业，药剂士及以上任职资格，熟悉《药品管理法》，中级职称者年龄可放宽至40岁。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5</w:t>
            </w:r>
          </w:p>
        </w:tc>
        <w:tc>
          <w:tcPr>
            <w:tcW w:w="58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中药房  （2人）</w:t>
            </w: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中药师    </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2</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进行中药调剂、管理；制定中药药品进购计划，开展药物不良反应监测等；开展药物合理应用管理等。</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35岁及以下，大专及以上学历，中药学或中医或中西医结合专业，中药士及以上任职资格，熟悉《药品管理法》，中级职称者年龄可放宽至40岁。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6</w:t>
            </w:r>
          </w:p>
        </w:tc>
        <w:tc>
          <w:tcPr>
            <w:tcW w:w="58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检验科</w:t>
            </w:r>
            <w:r>
              <w:rPr>
                <w:rFonts w:hint="eastAsia" w:ascii="微软雅黑" w:hAnsi="微软雅黑" w:eastAsia="微软雅黑" w:cs="微软雅黑"/>
                <w:color w:val="555555"/>
                <w:kern w:val="0"/>
                <w:sz w:val="18"/>
                <w:szCs w:val="18"/>
                <w:bdr w:val="none" w:color="auto" w:sz="0" w:space="0"/>
                <w:lang w:val="en-US" w:eastAsia="zh-CN" w:bidi="ar"/>
              </w:rPr>
              <w:br w:type="textWrapping"/>
            </w:r>
            <w:r>
              <w:rPr>
                <w:rFonts w:hint="eastAsia" w:ascii="微软雅黑" w:hAnsi="微软雅黑" w:eastAsia="微软雅黑" w:cs="微软雅黑"/>
                <w:color w:val="555555"/>
                <w:kern w:val="0"/>
                <w:sz w:val="18"/>
                <w:szCs w:val="18"/>
                <w:bdr w:val="none" w:color="auto" w:sz="0" w:space="0"/>
                <w:lang w:val="en-US" w:eastAsia="zh-CN" w:bidi="ar"/>
              </w:rPr>
              <w:t>（1人）</w:t>
            </w: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检验师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运用专业知识，科学准确开展临床检验诊断，开展传染病监测、上报工作。</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35岁及以下，大专及以上学历，检验专业，检验士及以上职称，有二级以上医疗机构2年以上工作经验或中级职称者年龄可放宽至40岁。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7</w:t>
            </w:r>
          </w:p>
        </w:tc>
        <w:tc>
          <w:tcPr>
            <w:tcW w:w="58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办公室  （1人）</w:t>
            </w: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工作人员</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负责人事档案管理、劳资、职称晋升、内勤、精神文明建设、安全、投诉、信访接待等工作，完成交办的临时性工作。</w:t>
            </w:r>
          </w:p>
        </w:tc>
        <w:tc>
          <w:tcPr>
            <w:tcW w:w="40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35岁及以下，大专及以上学历，汉语言文学或医学相关专业，具有较强的文字功底，具有1年以上办公室工作经验者优先。</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合计</w:t>
            </w:r>
          </w:p>
        </w:tc>
        <w:tc>
          <w:tcPr>
            <w:tcW w:w="58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 </w:t>
            </w:r>
          </w:p>
        </w:tc>
        <w:tc>
          <w:tcPr>
            <w:tcW w:w="687"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 </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21</w:t>
            </w:r>
          </w:p>
        </w:tc>
        <w:tc>
          <w:tcPr>
            <w:tcW w:w="24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 </w:t>
            </w:r>
          </w:p>
        </w:tc>
        <w:tc>
          <w:tcPr>
            <w:tcW w:w="4004" w:type="dxa"/>
            <w:shd w:val="clear"/>
            <w:vAlign w:val="center"/>
          </w:tcPr>
          <w:p>
            <w:pPr>
              <w:rPr>
                <w:rFonts w:hint="eastAsia" w:ascii="微软雅黑" w:hAnsi="微软雅黑" w:eastAsia="微软雅黑" w:cs="微软雅黑"/>
                <w:color w:val="555555"/>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5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dr w:val="none" w:color="auto" w:sz="0" w:space="0"/>
    </w:rPr>
  </w:style>
  <w:style w:type="character" w:styleId="4">
    <w:name w:val="FollowedHyperlink"/>
    <w:basedOn w:val="2"/>
    <w:uiPriority w:val="0"/>
    <w:rPr>
      <w:color w:val="333333"/>
      <w:u w:val="none"/>
      <w:bdr w:val="none" w:color="auto" w:sz="0" w:space="0"/>
    </w:rPr>
  </w:style>
  <w:style w:type="character" w:styleId="5">
    <w:name w:val="Emphasis"/>
    <w:basedOn w:val="2"/>
    <w:qFormat/>
    <w:uiPriority w:val="0"/>
  </w:style>
  <w:style w:type="character" w:styleId="6">
    <w:name w:val="Hyperlink"/>
    <w:basedOn w:val="2"/>
    <w:uiPriority w:val="0"/>
    <w:rPr>
      <w:color w:val="333333"/>
      <w:u w:val="none"/>
      <w:bdr w:val="none" w:color="auto" w:sz="0" w:space="0"/>
    </w:rPr>
  </w:style>
  <w:style w:type="character" w:customStyle="1" w:styleId="8">
    <w:name w:val="q6"/>
    <w:basedOn w:val="2"/>
    <w:uiPriority w:val="0"/>
    <w:rPr>
      <w:shd w:val="clear" w:fill="3CB5D4"/>
    </w:rPr>
  </w:style>
  <w:style w:type="character" w:customStyle="1" w:styleId="9">
    <w:name w:val="e4"/>
    <w:basedOn w:val="2"/>
    <w:uiPriority w:val="0"/>
  </w:style>
  <w:style w:type="character" w:customStyle="1" w:styleId="10">
    <w:name w:val="e6"/>
    <w:basedOn w:val="2"/>
    <w:uiPriority w:val="0"/>
  </w:style>
  <w:style w:type="character" w:customStyle="1" w:styleId="11">
    <w:name w:val="e2"/>
    <w:basedOn w:val="2"/>
    <w:uiPriority w:val="0"/>
  </w:style>
  <w:style w:type="character" w:customStyle="1" w:styleId="12">
    <w:name w:val="e1"/>
    <w:basedOn w:val="2"/>
    <w:uiPriority w:val="0"/>
  </w:style>
  <w:style w:type="character" w:customStyle="1" w:styleId="13">
    <w:name w:val="e3"/>
    <w:basedOn w:val="2"/>
    <w:uiPriority w:val="0"/>
  </w:style>
  <w:style w:type="character" w:customStyle="1" w:styleId="14">
    <w:name w:val="c_nobg"/>
    <w:basedOn w:val="2"/>
    <w:uiPriority w:val="0"/>
  </w:style>
  <w:style w:type="character" w:customStyle="1" w:styleId="15">
    <w:name w:val="e5"/>
    <w:basedOn w:val="2"/>
    <w:uiPriority w:val="0"/>
  </w:style>
  <w:style w:type="character" w:customStyle="1" w:styleId="16">
    <w:name w:val="e7"/>
    <w:basedOn w:val="2"/>
    <w:uiPriority w:val="0"/>
  </w:style>
  <w:style w:type="character" w:customStyle="1" w:styleId="17">
    <w:name w:val="e8"/>
    <w:basedOn w:val="2"/>
    <w:uiPriority w:val="0"/>
  </w:style>
  <w:style w:type="character" w:customStyle="1" w:styleId="18">
    <w:name w:val="of"/>
    <w:basedOn w:val="2"/>
    <w:uiPriority w:val="0"/>
  </w:style>
  <w:style w:type="character" w:customStyle="1" w:styleId="19">
    <w:name w:val="red"/>
    <w:basedOn w:val="2"/>
    <w:uiPriority w:val="0"/>
    <w:rPr>
      <w:color w:val="EA0000"/>
    </w:rPr>
  </w:style>
  <w:style w:type="character" w:customStyle="1" w:styleId="20">
    <w:name w:val="q7"/>
    <w:basedOn w:val="2"/>
    <w:uiPriority w:val="0"/>
    <w:rPr>
      <w:shd w:val="clear" w:fill="3CB5D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KKK</dc:creator>
  <cp:lastModifiedBy>『Soul、冷眸</cp:lastModifiedBy>
  <dcterms:modified xsi:type="dcterms:W3CDTF">2017-12-07T03:13:01Z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