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aps w:val="0"/>
          <w:color w:val="70707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707070"/>
          <w:spacing w:val="0"/>
          <w:sz w:val="21"/>
          <w:szCs w:val="21"/>
          <w:shd w:val="clear" w:fill="FFFFFF"/>
        </w:rPr>
        <w:t>招收学员条件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525" w:right="0" w:hanging="525"/>
        <w:jc w:val="both"/>
        <w:rPr>
          <w:rFonts w:hint="default" w:ascii="Times New Roman" w:hAnsi="Times New Roman" w:cs="Times New Roman"/>
          <w:b w:val="0"/>
          <w:i w:val="0"/>
          <w:caps w:val="0"/>
          <w:color w:val="70707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707070"/>
          <w:spacing w:val="0"/>
          <w:sz w:val="21"/>
          <w:szCs w:val="21"/>
          <w:shd w:val="clear" w:fill="FFFFFF"/>
        </w:rPr>
        <w:t>（1）学历和专业满足国家卫计委“关于临床药师培训基地招生学员条件的补充规定”（2016年）的要求（见下表）：</w:t>
      </w:r>
    </w:p>
    <w:tbl>
      <w:tblPr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9"/>
        <w:gridCol w:w="2879"/>
        <w:gridCol w:w="1079"/>
        <w:gridCol w:w="1079"/>
        <w:gridCol w:w="12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  <w:t>二级及二级以上医院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  <w:t>第一学历（全日制本科）</w:t>
            </w:r>
          </w:p>
        </w:tc>
        <w:tc>
          <w:tcPr>
            <w:tcW w:w="2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  <w:t>研究生学历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  <w:t>药学部门工作时间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  <w:t>职称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  <w:t>培训专业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  <w:t>临床药学</w:t>
            </w:r>
          </w:p>
        </w:tc>
        <w:tc>
          <w:tcPr>
            <w:tcW w:w="2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  <w:t>1年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  <w:t>通科/专科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  <w:t>临床药学（科学或专业学位）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  <w:t>半年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  <w:t>通科/专科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  <w:t>药学、药物制剂、药物分析、药物化学</w:t>
            </w:r>
          </w:p>
        </w:tc>
        <w:tc>
          <w:tcPr>
            <w:tcW w:w="2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  <w:t>2年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  <w:t>通科/专科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707070"/>
                <w:spacing w:val="0"/>
                <w:sz w:val="15"/>
                <w:szCs w:val="15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  <w:t>临床药学（专业学位）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  <w:t>1年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  <w:t>通科/专科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  <w:t>非药学专业</w:t>
            </w:r>
          </w:p>
        </w:tc>
        <w:tc>
          <w:tcPr>
            <w:tcW w:w="2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  <w:t>临床药学、药理学、药剂学（全日制）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  <w:t>2年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  <w:t>主管药师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  <w:t>通科/专科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707070"/>
                <w:spacing w:val="0"/>
                <w:sz w:val="15"/>
                <w:szCs w:val="15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  <w:t>非药学专业（全日制）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  <w:t>5年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  <w:t>主管药师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  <w:t>通科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9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  <w:t>县级及县级以下医院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  <w:t>第一学历（全日制专科）</w:t>
            </w:r>
          </w:p>
        </w:tc>
        <w:tc>
          <w:tcPr>
            <w:tcW w:w="2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  <w:t>药学部门工作时间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  <w:t>职称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  <w:t>培训专业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  <w:t>药学、药物制剂、药物分析、药物化学</w:t>
            </w:r>
          </w:p>
        </w:tc>
        <w:tc>
          <w:tcPr>
            <w:tcW w:w="2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  <w:t>2年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  <w:t>药师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  <w:t>通科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  <w:t>非药学专业</w:t>
            </w:r>
          </w:p>
        </w:tc>
        <w:tc>
          <w:tcPr>
            <w:tcW w:w="2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  <w:t>5年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  <w:t>主管药师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  <w:t>通科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aps w:val="0"/>
          <w:color w:val="70707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70707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aps w:val="0"/>
          <w:color w:val="70707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707070"/>
          <w:spacing w:val="0"/>
          <w:sz w:val="21"/>
          <w:szCs w:val="21"/>
          <w:shd w:val="clear" w:fill="FFFFFF"/>
        </w:rPr>
        <w:t>（2）具有良好的职业道德和业务素质，身心健康，能坚持全脱产学习；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aps w:val="0"/>
          <w:color w:val="70707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707070"/>
          <w:spacing w:val="0"/>
          <w:sz w:val="21"/>
          <w:szCs w:val="21"/>
          <w:shd w:val="clear" w:fill="FFFFFF"/>
        </w:rPr>
        <w:t>（3）采取单位推荐方式报名，选送单位应保证学员结业回原单位后能从事专职临床药师工作。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03CF3"/>
    <w:rsid w:val="63B03C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2017-12-18T05:20:00Z</dcterms:created>
  <dc:creator>ASUS</dc:creator>
  <cp:lastModifiedBy>ASUS</cp:lastModifiedBy>
  <dcterms:modified xsi:type="dcterms:W3CDTF">2017-12-18T05:20:50Z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