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370"/>
        <w:gridCol w:w="3554"/>
        <w:gridCol w:w="2385"/>
      </w:tblGrid>
      <w:tr>
        <w:tblPrEx>
          <w:shd w:val="clear"/>
          <w:tblLayout w:type="fixed"/>
        </w:tblPrEx>
        <w:tc>
          <w:tcPr>
            <w:tcW w:w="89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Style w:val="12"/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lang w:val="en-US" w:eastAsia="zh-CN" w:bidi="ar"/>
              </w:rPr>
              <w:t>                 </w:t>
            </w:r>
            <w:r>
              <w:rPr>
                <w:rStyle w:val="12"/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    西藏自治区人民医院2018年度人才引进计划表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897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897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8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2"/>
                <w:rFonts w:hint="default" w:ascii="Verdana" w:hAnsi="Verdana" w:cs="Verdana"/>
                <w:color w:val="333333"/>
                <w:sz w:val="18"/>
                <w:szCs w:val="18"/>
              </w:rPr>
              <w:t>序号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2"/>
                <w:rFonts w:hint="default" w:ascii="Verdana" w:hAnsi="Verdana" w:cs="Verdana"/>
                <w:color w:val="333333"/>
                <w:sz w:val="18"/>
                <w:szCs w:val="18"/>
              </w:rPr>
              <w:t>所需专业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drawing>
                <wp:inline distT="0" distB="0" distL="114300" distR="114300">
                  <wp:extent cx="5171440" cy="276225"/>
                  <wp:effectExtent l="0" t="0" r="10160" b="952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2"/>
                <w:rFonts w:hint="default" w:ascii="Verdana" w:hAnsi="Verdana" w:cs="Verdana"/>
                <w:color w:val="333333"/>
                <w:sz w:val="18"/>
                <w:szCs w:val="18"/>
              </w:rPr>
              <w:t>学历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2"/>
                <w:rFonts w:hint="default" w:ascii="Verdana" w:hAnsi="Verdana" w:cs="Verdana"/>
                <w:color w:val="333333"/>
                <w:sz w:val="18"/>
                <w:szCs w:val="18"/>
              </w:rPr>
              <w:t>计划人数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内科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儿科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急诊科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外科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妇产科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耳鼻喉科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眼科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超声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9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放射科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病理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11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麻醉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12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ICU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13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护理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14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医院管理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财务管理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16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人力资源管理 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本科及以上学历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2 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640"/>
        <w:jc w:val="center"/>
      </w:pPr>
      <w:r>
        <w:rPr>
          <w:rFonts w:hint="default" w:ascii="Verdana" w:hAnsi="Verdana" w:cs="Verdana"/>
          <w:color w:val="333333"/>
          <w:sz w:val="18"/>
          <w:szCs w:val="18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</w:pBdr>
        <w:shd w:val="clear" w:fill="FFFFFF"/>
        <w:spacing w:before="150" w:beforeAutospacing="0" w:after="75" w:afterAutospacing="0" w:line="336" w:lineRule="atLeast"/>
        <w:ind w:left="0" w:right="0"/>
        <w:jc w:val="center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18"/>
          <w:szCs w:val="18"/>
          <w:bdr w:val="single" w:color="666666" w:sz="2" w:space="0"/>
          <w:shd w:val="clear" w:fill="FFFFFF"/>
          <w:lang w:val="en-US" w:eastAsia="zh-CN" w:bidi="ar"/>
        </w:rPr>
        <w:br w:type="textWrapping"/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105307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B576D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  <w:rPr>
      <w:bdr w:val="none" w:color="auto" w:sz="0" w:space="0"/>
    </w:rPr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  <w:style w:type="character" w:customStyle="1" w:styleId="297">
    <w:name w:val="onlinepl_replay21"/>
    <w:basedOn w:val="11"/>
    <w:uiPriority w:val="0"/>
  </w:style>
  <w:style w:type="character" w:customStyle="1" w:styleId="298">
    <w:name w:val="onlinepl_replay22"/>
    <w:basedOn w:val="11"/>
    <w:uiPriority w:val="0"/>
    <w:rPr>
      <w:bdr w:val="none" w:color="auto" w:sz="0" w:space="0"/>
    </w:rPr>
  </w:style>
  <w:style w:type="character" w:customStyle="1" w:styleId="299">
    <w:name w:val="btn4"/>
    <w:basedOn w:val="11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2017-12-21T04:18:16Z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