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1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0"/>
        <w:gridCol w:w="1635"/>
        <w:gridCol w:w="1140"/>
        <w:gridCol w:w="615"/>
        <w:gridCol w:w="855"/>
        <w:gridCol w:w="600"/>
        <w:gridCol w:w="1170"/>
        <w:gridCol w:w="990"/>
        <w:gridCol w:w="1155"/>
        <w:gridCol w:w="240"/>
        <w:gridCol w:w="570"/>
        <w:gridCol w:w="375"/>
        <w:gridCol w:w="2295"/>
        <w:gridCol w:w="630"/>
        <w:gridCol w:w="795"/>
        <w:gridCol w:w="6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  <w:t>附表：</w:t>
            </w: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4115" w:type="dxa"/>
            <w:gridSpan w:val="16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长沙市望城区201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  <w:t>7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年面向全国公开选调公务员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 w:bidi="ar"/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  <w:t>参公管理人员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 w:bidi="ar"/>
              </w:rPr>
              <w:t>）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职位计划表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选调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单位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选调职位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选调人数</w:t>
            </w:r>
          </w:p>
        </w:tc>
        <w:tc>
          <w:tcPr>
            <w:tcW w:w="82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职位资格条件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面试比例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体检和考察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比例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性别要求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身份要求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最低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 xml:space="preserve">历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学位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区纪委（监察局）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案件审理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或参公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人员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全日制本科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会计学、审计学、财务管理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中共党员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：1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3:1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55"/>
              </w:tabs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区委组织部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文字综合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 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或参公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人员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全日制本科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中共党员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一年县级党委、政府办公室或组织部文字工作经历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：1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3:1</w:t>
            </w: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区财政局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金融证券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或参公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人员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全日制本科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经济学、金融学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一年金融、证券相关工作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经历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：1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3:1</w:t>
            </w: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区审计局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财务审计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或参公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人员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全日制本科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会计学、审计学、财务管理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一年财会、审计、财政相关工作经历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：1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3:1</w:t>
            </w: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3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项目审计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或参公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人员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全日制本科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工程造价、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工程管理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具有注册造价师执业资格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：1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2:1</w:t>
            </w: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区统计局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统计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或参公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人员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全日制本科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统计学、经济统计学、应用统计学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5:1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3:1</w:t>
            </w: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区人力资源和社会保障局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社会保障与人力资源管理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或参公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人员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全日制本科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劳动关系、劳动与社会保障、人力资源管理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5:1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3:1</w:t>
            </w: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选调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单位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选调职位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选调人数</w:t>
            </w:r>
          </w:p>
        </w:tc>
        <w:tc>
          <w:tcPr>
            <w:tcW w:w="82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职位资格条件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面试比例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体检和考察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比例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3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性别要求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身份要求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最低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 xml:space="preserve">历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学位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区工务局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项目管理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或参公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人员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全日制本科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土建类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一年工程项目管理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工作经历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5:1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3:1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文字综合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或参公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人员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全日制本科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中共党员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一年机关文字工作经历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5:1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3:1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widowControl/>
        <w:spacing w:line="300" w:lineRule="exact"/>
        <w:jc w:val="left"/>
        <w:textAlignment w:val="center"/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  <w:t>注：1、全日制学历指按照国家教育部门关于学历学位的有关规定属于普通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 w:bidi="ar"/>
        </w:rPr>
        <w:t>统招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  <w:t>全日制教育的本科、硕士研究生及以上学历或经国家教育部留学服务中心认证的国(境)外属于全日制教育的本科、硕士研究生及以上学历；</w:t>
      </w:r>
    </w:p>
    <w:p>
      <w:pPr>
        <w:widowControl/>
        <w:spacing w:line="300" w:lineRule="exact"/>
        <w:ind w:firstLine="400"/>
        <w:jc w:val="left"/>
        <w:textAlignment w:val="center"/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  <w:t>2、报考人员的专业应严格按照毕业证书填写，本次选调条件所涉及专业参照《201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 w:bidi="ar"/>
        </w:rPr>
        <w:t>7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  <w:t>年湖南省考试录用公务员专业指导目录》执行，所学专业已列入《201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 w:bidi="ar"/>
        </w:rPr>
        <w:t>7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  <w:t>年湖南省考试录用公务员专业指导目录》、但未列入选调职位专业的，不符合报考条件；所学专业未列入《201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 w:bidi="ar"/>
        </w:rPr>
        <w:t>7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  <w:t>年湖南省考试录用公务员专业指导目录》的，由望城区人社局认定。</w:t>
      </w:r>
    </w:p>
    <w:p/>
    <w:sectPr>
      <w:pgSz w:w="16838" w:h="11906" w:orient="landscape"/>
      <w:pgMar w:top="1236" w:right="1440" w:bottom="1236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84F9B"/>
    <w:rsid w:val="01184F9B"/>
    <w:rsid w:val="550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2017-12-26T05:44:00Z</dcterms:created>
  <dc:creator>繁够了</dc:creator>
  <cp:lastModifiedBy>繁够了</cp:lastModifiedBy>
  <dcterms:modified xsi:type="dcterms:W3CDTF">2017-12-26T05:46:58Z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