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附 件</w:t>
      </w:r>
      <w:r>
        <w:rPr>
          <w:rFonts w:hint="eastAsia" w:ascii="黑体" w:hAnsi="宋体" w:eastAsia="黑体" w:cs="黑体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2017年郑州大学第三附属医院研究生进人计划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tbl>
      <w:tblPr>
        <w:tblW w:w="94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462"/>
        <w:gridCol w:w="764"/>
        <w:gridCol w:w="633"/>
        <w:gridCol w:w="677"/>
        <w:gridCol w:w="43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需求专业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需求人数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4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妇产科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妇产科、临床医学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3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妇女保健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妇产科、临床医学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产后康复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妇产科、临床医学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生殖中心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妇产科、生殖医学、动物遗传育种与繁殖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针灸推拿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儿内科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小儿内科临床医学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3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儿童保健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儿童保健、儿内科、临床医学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乳腺外科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乳腺外科临床医学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儿外科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外科学、临床医学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小儿骨科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骨科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康复医学科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临床医学、神经外科、神经内科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针灸推拿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检验科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临床检验诊断学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临床医学、医学影像与核医学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药学部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药学相关专业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3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医保办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财务部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会计、审计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保健部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预防医学、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流行病与卫生统计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重点实验室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生物化学与分子生物学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流行病与卫生统计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病案管理 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病案管理、图书情报相关专业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行政管理、人力资源管理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招标办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行政管理相关专业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00D2F"/>
    <w:rsid w:val="3D1B20D4"/>
    <w:rsid w:val="4F025F97"/>
    <w:rsid w:val="67000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2017-12-29T03:43:00Z</dcterms:created>
  <dc:creator>大脸加菲猫</dc:creator>
  <cp:lastModifiedBy>大脸加菲猫</cp:lastModifiedBy>
  <dcterms:modified xsi:type="dcterms:W3CDTF">2017-12-29T07:18:02Z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