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ascii="黑体" w:hAnsi="黑体" w:eastAsia="黑体"/>
          <w:sz w:val="40"/>
          <w:szCs w:val="40"/>
        </w:rPr>
        <w:t>201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7</w:t>
      </w:r>
      <w:r>
        <w:rPr>
          <w:rFonts w:hint="eastAsia" w:ascii="黑体" w:hAnsi="黑体" w:eastAsia="黑体"/>
          <w:sz w:val="40"/>
          <w:szCs w:val="40"/>
        </w:rPr>
        <w:t>年长沙市妇联所属</w:t>
      </w:r>
      <w:r>
        <w:rPr>
          <w:rFonts w:hint="eastAsia" w:ascii="黑体" w:hAnsi="黑体" w:eastAsia="黑体"/>
          <w:sz w:val="40"/>
          <w:szCs w:val="40"/>
          <w:lang w:eastAsia="zh-CN"/>
        </w:rPr>
        <w:t>事业单位</w:t>
      </w:r>
      <w:r>
        <w:rPr>
          <w:rFonts w:hint="eastAsia" w:ascii="黑体" w:hAnsi="黑体" w:eastAsia="黑体"/>
          <w:sz w:val="40"/>
          <w:szCs w:val="40"/>
        </w:rPr>
        <w:t>公开招聘进入考核人员名单及考核公告</w:t>
      </w:r>
    </w:p>
    <w:p>
      <w:pPr>
        <w:rPr>
          <w:rFonts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一、进入考核人员名单</w:t>
      </w:r>
    </w:p>
    <w:tbl>
      <w:tblPr>
        <w:tblStyle w:val="6"/>
        <w:tblW w:w="10581" w:type="dxa"/>
        <w:jc w:val="center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184"/>
        <w:gridCol w:w="1094"/>
        <w:gridCol w:w="1670"/>
        <w:gridCol w:w="958"/>
        <w:gridCol w:w="1033"/>
        <w:gridCol w:w="981"/>
        <w:gridCol w:w="871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报考单位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报考岗位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准考证号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综合知识成绩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专业知识成绩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笔试合成成绩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名次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长沙市儿童活动中心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项目管理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李颖娟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116010204714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88.58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77.79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82.11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长沙市儿童活动中心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项目管理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王柯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116010204703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84.03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72.21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76.94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长沙市儿童活动中心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项目管理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袁俊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116010204707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80.55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73.14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76.10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长沙市妇女培训活动中心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舞蹈学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金丹薇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117010204303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77.77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79.97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79.09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长沙市妇女培训活动中心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舞蹈学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廖庭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117010204301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72.55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79.99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77.01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长沙市妇女培训活动中心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舞蹈学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李星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117010204305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58.96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72.86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67.30 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二、考核时间、地点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（一）时间：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日（星期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）上午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（二）地点：长沙市儿童活动中心二楼面试室（长沙市雨花区劳动东路体育新城“一馆三中心”儿童活动中心）</w:t>
      </w:r>
    </w:p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三、考核方式及程序</w:t>
      </w:r>
    </w:p>
    <w:p>
      <w:pPr>
        <w:spacing w:line="58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（一）考核方式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、考核由结构化面试和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构成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其中结构化面试成绩占40%，专业考核成绩占60%（四舍五入保留两位小数）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）结构化面试主要考察应聘人员相匹配的综合分析能力、临场应变能力、语言表达能力、仪表举止等综合素质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主要考察应聘人员相适应的专业业务能力。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、结构化面试时间每人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分钟，满分</w:t>
      </w:r>
      <w:r>
        <w:rPr>
          <w:rFonts w:ascii="仿宋" w:hAnsi="仿宋" w:eastAsia="仿宋"/>
          <w:sz w:val="30"/>
          <w:szCs w:val="30"/>
        </w:rPr>
        <w:t>100</w:t>
      </w:r>
      <w:r>
        <w:rPr>
          <w:rFonts w:hint="eastAsia" w:ascii="仿宋" w:hAnsi="仿宋" w:eastAsia="仿宋"/>
          <w:sz w:val="30"/>
          <w:szCs w:val="30"/>
        </w:rPr>
        <w:t>分。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时间每人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分钟，满分</w:t>
      </w:r>
      <w:r>
        <w:rPr>
          <w:rFonts w:ascii="仿宋" w:hAnsi="仿宋" w:eastAsia="仿宋"/>
          <w:sz w:val="30"/>
          <w:szCs w:val="30"/>
        </w:rPr>
        <w:t>100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、考生的考核成绩合格分数线为</w:t>
      </w:r>
      <w:r>
        <w:rPr>
          <w:rFonts w:ascii="仿宋" w:hAnsi="仿宋" w:eastAsia="仿宋"/>
          <w:sz w:val="30"/>
          <w:szCs w:val="30"/>
        </w:rPr>
        <w:t>70</w:t>
      </w:r>
      <w:r>
        <w:rPr>
          <w:rFonts w:hint="eastAsia" w:ascii="仿宋" w:hAnsi="仿宋" w:eastAsia="仿宋"/>
          <w:sz w:val="30"/>
          <w:szCs w:val="30"/>
        </w:rPr>
        <w:t>分，考核成绩低于</w:t>
      </w:r>
      <w:r>
        <w:rPr>
          <w:rFonts w:ascii="仿宋" w:hAnsi="仿宋" w:eastAsia="仿宋"/>
          <w:sz w:val="30"/>
          <w:szCs w:val="30"/>
        </w:rPr>
        <w:t>70</w:t>
      </w:r>
      <w:r>
        <w:rPr>
          <w:rFonts w:hint="eastAsia" w:ascii="仿宋" w:hAnsi="仿宋" w:eastAsia="仿宋"/>
          <w:sz w:val="30"/>
          <w:szCs w:val="30"/>
        </w:rPr>
        <w:t>分的考生不进入体检程序。</w:t>
      </w:r>
    </w:p>
    <w:p>
      <w:pPr>
        <w:spacing w:line="58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（二）考核程序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、结构化面试（以下简称面试）程序：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日上午</w:t>
      </w:r>
      <w:r>
        <w:rPr>
          <w:rFonts w:ascii="仿宋" w:hAnsi="仿宋" w:eastAsia="仿宋"/>
          <w:sz w:val="30"/>
          <w:szCs w:val="30"/>
        </w:rPr>
        <w:t>8: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考核入围人员在长沙市儿童活动中心二楼（候考室）统一集合，现场查验身份证和笔试准考证。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日上午</w:t>
      </w:r>
      <w:r>
        <w:rPr>
          <w:rFonts w:ascii="仿宋" w:hAnsi="仿宋" w:eastAsia="仿宋"/>
          <w:sz w:val="30"/>
          <w:szCs w:val="30"/>
        </w:rPr>
        <w:t>8: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考生开始面试抽签。考生务必于抽签之前到达长沙市儿童活动中心二楼（候考室），否则视为放弃面试。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）抽签完毕后，考生开始按抽签顺序进行面试。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）面试评委在面试结束后当场评分。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）面试结束后考生到候分室候分，等候领取本人的面试成绩通知单。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程序：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）考生在结构化面试结束后，即到长沙市儿童活动中心二楼（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候考室）</w:t>
      </w:r>
      <w:r>
        <w:rPr>
          <w:rFonts w:hint="eastAsia" w:ascii="仿宋" w:hAnsi="仿宋" w:eastAsia="仿宋"/>
          <w:sz w:val="30"/>
          <w:szCs w:val="30"/>
          <w:lang w:eastAsia="zh-CN"/>
        </w:rPr>
        <w:t>，分项目管理和舞蹈学两个岗位进行专业考核</w:t>
      </w:r>
      <w:r>
        <w:rPr>
          <w:rFonts w:hint="eastAsia" w:ascii="仿宋" w:hAnsi="仿宋" w:eastAsia="仿宋"/>
          <w:sz w:val="30"/>
          <w:szCs w:val="30"/>
        </w:rPr>
        <w:t>抽签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）先进行项目管理岗位的专业考核，项目管理岗位专业考核结束后，再进行舞蹈学岗位的专业考核。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）考生按抽签顺序到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室进行</w:t>
      </w:r>
      <w:r>
        <w:rPr>
          <w:rFonts w:hint="eastAsia" w:ascii="仿宋" w:hAnsi="仿宋" w:eastAsia="仿宋"/>
          <w:sz w:val="30"/>
          <w:szCs w:val="30"/>
          <w:lang w:eastAsia="zh-CN"/>
        </w:rPr>
        <w:t>专业</w:t>
      </w:r>
      <w:r>
        <w:rPr>
          <w:rFonts w:hint="eastAsia" w:ascii="仿宋" w:hAnsi="仿宋" w:eastAsia="仿宋"/>
          <w:sz w:val="30"/>
          <w:szCs w:val="30"/>
        </w:rPr>
        <w:t>考核。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评委在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结束后当场评分，考生的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最后得分为去掉一个最高分和一个最低分后的平均分（小数点后保留两位）。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结束后考生到候分室候分，等候领取本人的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成绩通知单。</w:t>
      </w:r>
    </w:p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四、注意事项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（一）考生须凭本人正式有效居民身份证和笔试准考证参加结构化面试和</w:t>
      </w:r>
      <w:r>
        <w:rPr>
          <w:rFonts w:hint="eastAsia" w:ascii="仿宋" w:hAnsi="仿宋" w:eastAsia="仿宋"/>
          <w:sz w:val="30"/>
          <w:szCs w:val="30"/>
          <w:lang w:eastAsia="zh-CN"/>
        </w:rPr>
        <w:t>专业考核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（二）考生在拿到成绩通知单后必须立刻离开考场，不得在考场附近逗留。</w:t>
      </w:r>
    </w:p>
    <w:p>
      <w:pPr>
        <w:spacing w:line="58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五、联系方式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（一）咨询电话：长沙市妇联组联部</w:t>
      </w:r>
      <w:r>
        <w:rPr>
          <w:rFonts w:ascii="仿宋" w:hAnsi="仿宋" w:eastAsia="仿宋"/>
          <w:sz w:val="30"/>
          <w:szCs w:val="30"/>
        </w:rPr>
        <w:t xml:space="preserve"> 0731-84880306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长沙市儿童活动中心办公室</w:t>
      </w:r>
      <w:r>
        <w:rPr>
          <w:rFonts w:ascii="仿宋" w:hAnsi="仿宋" w:eastAsia="仿宋"/>
          <w:sz w:val="30"/>
          <w:szCs w:val="30"/>
        </w:rPr>
        <w:t xml:space="preserve"> 0731-85130083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长沙市妇女培训活动中心办公室0731-85585667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（二）监督电话：</w:t>
      </w:r>
      <w:r>
        <w:rPr>
          <w:rFonts w:hint="eastAsia" w:ascii="仿宋" w:hAnsi="仿宋" w:eastAsia="仿宋"/>
          <w:sz w:val="30"/>
          <w:szCs w:val="30"/>
          <w:lang w:eastAsia="zh-CN"/>
        </w:rPr>
        <w:t>市纪委派驻</w:t>
      </w:r>
      <w:r>
        <w:rPr>
          <w:rFonts w:ascii="仿宋" w:hAnsi="仿宋" w:eastAsia="仿宋"/>
          <w:sz w:val="30"/>
          <w:szCs w:val="30"/>
        </w:rPr>
        <w:t>长沙市</w:t>
      </w:r>
      <w:r>
        <w:rPr>
          <w:rFonts w:hint="eastAsia" w:ascii="仿宋" w:hAnsi="仿宋" w:eastAsia="仿宋"/>
          <w:sz w:val="30"/>
          <w:szCs w:val="30"/>
          <w:lang w:eastAsia="zh-CN"/>
        </w:rPr>
        <w:t>总工会机关</w:t>
      </w:r>
      <w:r>
        <w:rPr>
          <w:rFonts w:ascii="仿宋" w:hAnsi="仿宋" w:eastAsia="仿宋"/>
          <w:sz w:val="30"/>
          <w:szCs w:val="30"/>
        </w:rPr>
        <w:t>纪检</w:t>
      </w:r>
      <w:r>
        <w:rPr>
          <w:rFonts w:hint="eastAsia" w:ascii="仿宋" w:hAnsi="仿宋" w:eastAsia="仿宋"/>
          <w:sz w:val="30"/>
          <w:szCs w:val="30"/>
          <w:lang w:eastAsia="zh-CN"/>
        </w:rPr>
        <w:t>组</w:t>
      </w:r>
      <w:r>
        <w:rPr>
          <w:rFonts w:ascii="仿宋" w:hAnsi="仿宋" w:eastAsia="仿宋"/>
          <w:sz w:val="30"/>
          <w:szCs w:val="30"/>
        </w:rPr>
        <w:t xml:space="preserve"> 0731-8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5585082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</w:t>
      </w:r>
    </w:p>
    <w:p>
      <w:pPr>
        <w:spacing w:line="58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长沙市人力资源和社会保障局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长沙市妇女联合会</w:t>
      </w:r>
    </w:p>
    <w:p>
      <w:pPr>
        <w:spacing w:line="580" w:lineRule="exact"/>
        <w:ind w:firstLine="3150" w:firstLineChars="10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5284D"/>
    <w:rsid w:val="01C473BD"/>
    <w:rsid w:val="01D5284D"/>
    <w:rsid w:val="0AA60A36"/>
    <w:rsid w:val="2D5D46BE"/>
    <w:rsid w:val="3896728C"/>
    <w:rsid w:val="3C7E5030"/>
    <w:rsid w:val="3E354F8D"/>
    <w:rsid w:val="7C715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2017-12-04T02:33:00Z</dcterms:created>
  <dc:creator>Administrator</dc:creator>
  <cp:lastModifiedBy>Administrator</cp:lastModifiedBy>
  <dcterms:modified xsi:type="dcterms:W3CDTF">2018-01-02T01:35:38Z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