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A2" w:rsidRPr="000C7AA2" w:rsidRDefault="000C7AA2" w:rsidP="000C7AA2">
      <w:pPr>
        <w:widowControl/>
        <w:shd w:val="clear" w:color="auto" w:fill="FFFFFF"/>
        <w:spacing w:line="450" w:lineRule="atLeast"/>
        <w:jc w:val="left"/>
        <w:rPr>
          <w:rFonts w:ascii="宋体" w:eastAsia="宋体" w:hAnsi="宋体" w:cs="宋体"/>
          <w:color w:val="333333"/>
          <w:kern w:val="0"/>
          <w:szCs w:val="21"/>
        </w:rPr>
      </w:pPr>
      <w:r w:rsidRPr="000C7AA2">
        <w:rPr>
          <w:rFonts w:ascii="仿宋" w:eastAsia="仿宋" w:hAnsi="仿宋" w:cs="宋体" w:hint="eastAsia"/>
          <w:color w:val="333333"/>
          <w:kern w:val="0"/>
          <w:sz w:val="32"/>
          <w:szCs w:val="32"/>
        </w:rPr>
        <w:t>附件2：</w:t>
      </w:r>
    </w:p>
    <w:p w:rsidR="000C7AA2" w:rsidRPr="000C7AA2" w:rsidRDefault="000C7AA2" w:rsidP="000C7AA2">
      <w:pPr>
        <w:widowControl/>
        <w:shd w:val="clear" w:color="auto" w:fill="FFFFFF"/>
        <w:spacing w:line="500" w:lineRule="atLeast"/>
        <w:jc w:val="center"/>
        <w:rPr>
          <w:rFonts w:ascii="宋体" w:eastAsia="宋体" w:hAnsi="宋体" w:cs="宋体" w:hint="eastAsia"/>
          <w:color w:val="333333"/>
          <w:kern w:val="0"/>
          <w:szCs w:val="21"/>
        </w:rPr>
      </w:pPr>
      <w:r w:rsidRPr="000C7AA2">
        <w:rPr>
          <w:rFonts w:ascii="仿宋" w:eastAsia="仿宋" w:hAnsi="仿宋" w:cs="宋体" w:hint="eastAsia"/>
          <w:b/>
          <w:bCs/>
          <w:color w:val="333333"/>
          <w:kern w:val="0"/>
          <w:sz w:val="36"/>
          <w:szCs w:val="36"/>
        </w:rPr>
        <w:t>连城县赖源乡人民政府</w:t>
      </w:r>
    </w:p>
    <w:p w:rsidR="000C7AA2" w:rsidRPr="000C7AA2" w:rsidRDefault="000C7AA2" w:rsidP="000C7AA2">
      <w:pPr>
        <w:widowControl/>
        <w:shd w:val="clear" w:color="auto" w:fill="FFFFFF"/>
        <w:spacing w:line="500" w:lineRule="atLeast"/>
        <w:jc w:val="center"/>
        <w:rPr>
          <w:rFonts w:ascii="宋体" w:eastAsia="宋体" w:hAnsi="宋体" w:cs="宋体" w:hint="eastAsia"/>
          <w:color w:val="333333"/>
          <w:kern w:val="0"/>
          <w:szCs w:val="21"/>
        </w:rPr>
      </w:pPr>
      <w:r w:rsidRPr="000C7AA2">
        <w:rPr>
          <w:rFonts w:ascii="仿宋" w:eastAsia="仿宋" w:hAnsi="仿宋" w:cs="宋体" w:hint="eastAsia"/>
          <w:b/>
          <w:bCs/>
          <w:color w:val="333333"/>
          <w:kern w:val="0"/>
          <w:sz w:val="36"/>
          <w:szCs w:val="36"/>
        </w:rPr>
        <w:t>招聘编外工作人员量化评分标准</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一、基本分（65分-75分）</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1、政治素质好，热爱祖国，拥护党的基本路线和方针政策；</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2、学习成绩合格，有一定的口头表达和文字表达能力；</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3、具有敬业奉献精神，遵纪守法，作风正派。</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符合以上条件的，大学研究生以上学历的评定为75分，大学本科学历的评定为70分，大学专科学历的评定为65分。</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二、加分条件</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1、中共党员加2分、中共预备党员加1分，该项目加分由县委组织部、户籍所在地乡（镇）党委或毕业学校党委提供组织关系证明。</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2、有相关岗位工作经验者，从参加工作算起每年加2分（需提供相关证明）。</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3、户籍在本县的加3分、户籍在本乡的加5分，此项加分仅取一项加分，不累加。</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4、获得双学位的加3分。该项目加分由毕业生提供学位证书和中国学位与研究生教育信息网上查询的认证材料。</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5、退伍军人的加3分。</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6、烈士直系亲属（子女、孙子女、外孙子女）加5分。</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lastRenderedPageBreak/>
        <w:t>7、少数民族的加5分。</w:t>
      </w:r>
    </w:p>
    <w:p w:rsidR="000C7AA2" w:rsidRPr="000C7AA2" w:rsidRDefault="000C7AA2" w:rsidP="000C7AA2">
      <w:pPr>
        <w:widowControl/>
        <w:shd w:val="clear" w:color="auto" w:fill="FFFFFF"/>
        <w:spacing w:line="500" w:lineRule="atLeast"/>
        <w:ind w:firstLine="600"/>
        <w:jc w:val="left"/>
        <w:rPr>
          <w:rFonts w:ascii="宋体" w:eastAsia="宋体" w:hAnsi="宋体" w:cs="宋体" w:hint="eastAsia"/>
          <w:color w:val="333333"/>
          <w:kern w:val="0"/>
          <w:szCs w:val="21"/>
        </w:rPr>
      </w:pPr>
      <w:r w:rsidRPr="000C7AA2">
        <w:rPr>
          <w:rFonts w:ascii="仿宋" w:eastAsia="仿宋" w:hAnsi="仿宋" w:cs="宋体" w:hint="eastAsia"/>
          <w:color w:val="333333"/>
          <w:kern w:val="0"/>
          <w:sz w:val="30"/>
          <w:szCs w:val="30"/>
        </w:rPr>
        <w:t>8、家庭经济困难并就业困难的加3分。“家庭经济困难并就业困难”统一按毕业生本人当前享受最低生活保障金认定，申报家庭经济困难加分的人员，须提交县级民政部门出具的享受最低生活保障金的证明。</w:t>
      </w:r>
    </w:p>
    <w:p w:rsidR="006D1B84" w:rsidRDefault="006D1B84">
      <w:bookmarkStart w:id="0" w:name="_GoBack"/>
      <w:bookmarkEnd w:id="0"/>
    </w:p>
    <w:sectPr w:rsidR="006D1B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A2"/>
    <w:rsid w:val="000C7AA2"/>
    <w:rsid w:val="006D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F81B-BC53-43A8-9A39-E97E096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2018-02-24T02:34:00Z</dcterms:created>
  <dcterms:modified xsi:type="dcterms:W3CDTF">2018-02-24T02:35:00Z</dcterms:modified>
</cp:coreProperties>
</file>