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龙华区2018年公开招聘职业化工会工作者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岗位表</w:t>
      </w:r>
    </w:p>
    <w:tbl>
      <w:tblPr>
        <w:tblStyle w:val="3"/>
        <w:tblW w:w="92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550"/>
        <w:gridCol w:w="990"/>
        <w:gridCol w:w="930"/>
        <w:gridCol w:w="4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聘用岗位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拟聘人数</w:t>
            </w:r>
          </w:p>
        </w:tc>
        <w:tc>
          <w:tcPr>
            <w:tcW w:w="6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所需资格条件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最高年龄</w:t>
            </w:r>
          </w:p>
        </w:tc>
        <w:tc>
          <w:tcPr>
            <w:tcW w:w="4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职工服务岗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财务管理岗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本科：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会计学（120203K）、财务管理（120204）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  <w:t>研究生：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会计学（120201）、企业管理学（含财务管理、市场营销、人力资源管理（120202））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文体活动策划岗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7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30名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F619D"/>
    <w:rsid w:val="065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2018-04-02T07:37:00Z</dcterms:created>
  <dc:creator>dai</dc:creator>
  <cp:lastModifiedBy>dai</cp:lastModifiedBy>
  <dcterms:modified xsi:type="dcterms:W3CDTF">2018-04-02T07:37:41Z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