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"/>
          <w:sz w:val="32"/>
          <w:szCs w:val="32"/>
        </w:rPr>
      </w:pPr>
      <w:r>
        <w:rPr>
          <w:rFonts w:hint="eastAsia" w:ascii="方正小标宋简体" w:hAnsi="宋体" w:eastAsia="方正小标宋简体" w:cs="仿宋"/>
          <w:sz w:val="32"/>
          <w:szCs w:val="32"/>
        </w:rPr>
        <w:t>赣州市建筑设计研究院2018年上半年招聘编外专业技术岗工作人员计划表</w:t>
      </w:r>
    </w:p>
    <w:p>
      <w:pPr>
        <w:ind w:firstLine="3040" w:firstLineChars="950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text" w:horzAnchor="margin" w:tblpY="233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727"/>
        <w:gridCol w:w="2863"/>
        <w:gridCol w:w="3422"/>
        <w:gridCol w:w="4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75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43" w:hanging="143" w:hangingChars="65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1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    格    条 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7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  他  条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7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43" w:hanging="143" w:hangingChars="65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方案创作设计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应届毕业生（985院校毕业生可放宽至本科学历）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7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建筑施工图设计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建筑学或土木工程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07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结构设计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结构工程、建筑与土木工程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应届毕业生（985院校毕业生可放宽至本科学历）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07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给水排水工程设计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给水排水工程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 w:val="22"/>
                <w:szCs w:val="22"/>
                <w:shd w:val="clear" w:color="auto" w:fill="FFFFFF"/>
              </w:rPr>
              <w:t>应届毕业生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（985院校毕业生可放宽至本科学历）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07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建筑电气设计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建筑电气、电气自动化、供配电及相关专业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4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sz w:val="22"/>
                <w:szCs w:val="22"/>
                <w:shd w:val="clear" w:color="auto" w:fill="FFFFFF"/>
              </w:rPr>
              <w:t>应届毕业生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（985院校毕业生可放宽至本科学历）</w:t>
            </w:r>
          </w:p>
        </w:tc>
      </w:tr>
    </w:tbl>
    <w:p>
      <w:pPr>
        <w:spacing w:line="54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276" w:right="1327" w:bottom="993" w:left="132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2018-04-17T00:49:15Z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