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both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</w:t>
      </w:r>
      <w:r>
        <w:rPr>
          <w:rFonts w:hint="eastAsia" w:ascii="黑体" w:hAnsi="黑体" w:eastAsia="黑体" w:cs="黑体"/>
          <w:b w:val="0"/>
          <w:lang w:val="en-US" w:eastAsia="zh-CN"/>
        </w:rPr>
        <w:t>2</w:t>
      </w:r>
      <w:bookmarkStart w:id="0" w:name="_GoBack"/>
      <w:bookmarkEnd w:id="0"/>
    </w:p>
    <w:p>
      <w:pPr>
        <w:pStyle w:val="2"/>
        <w:spacing w:before="0" w:after="0" w:line="600" w:lineRule="exact"/>
        <w:ind w:firstLine="450" w:firstLineChars="150"/>
        <w:jc w:val="both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 w:val="0"/>
          <w:sz w:val="30"/>
          <w:szCs w:val="30"/>
        </w:rPr>
        <w:t>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资产保全部业务经理</w:t>
      </w:r>
    </w:p>
    <w:tbl>
      <w:tblPr>
        <w:tblStyle w:val="5"/>
        <w:tblW w:w="9336" w:type="dxa"/>
        <w:jc w:val="center"/>
        <w:tblInd w:w="-2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522"/>
        <w:gridCol w:w="1318"/>
        <w:gridCol w:w="1547"/>
        <w:gridCol w:w="1504"/>
        <w:gridCol w:w="14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名称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资产保全部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业务经理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类型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一般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管理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招聘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人数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ind w:firstLine="320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性质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全职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地点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湖南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娄底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甄选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方式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年龄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要求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spacing w:before="0" w:after="0" w:line="240" w:lineRule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周岁以下（197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月3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日后出生，特别优秀人才可适当放宽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薪酬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待遇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lef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基薪+绩效+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五险一金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+公司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福利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职责</w:t>
            </w:r>
          </w:p>
        </w:tc>
        <w:tc>
          <w:tcPr>
            <w:tcW w:w="83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2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3"/>
                <w:w w:val="95"/>
                <w:sz w:val="30"/>
                <w:szCs w:val="30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3"/>
                <w:w w:val="95"/>
                <w:sz w:val="30"/>
                <w:szCs w:val="30"/>
                <w:shd w:val="clear" w:color="auto" w:fill="FFFFFF"/>
              </w:rPr>
              <w:t>维护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3"/>
                <w:w w:val="95"/>
                <w:sz w:val="30"/>
                <w:szCs w:val="30"/>
                <w:shd w:val="clear" w:color="auto" w:fill="FFFFFF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3"/>
                <w:w w:val="95"/>
                <w:sz w:val="30"/>
                <w:szCs w:val="30"/>
                <w:shd w:val="clear" w:color="auto" w:fill="FFFFFF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3"/>
                <w:w w:val="95"/>
                <w:sz w:val="30"/>
                <w:szCs w:val="30"/>
                <w:shd w:val="clear" w:color="auto" w:fill="FFFFFF"/>
                <w:lang w:eastAsia="zh-CN"/>
              </w:rPr>
              <w:t>机房、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3"/>
                <w:w w:val="95"/>
                <w:sz w:val="30"/>
                <w:szCs w:val="30"/>
                <w:shd w:val="clear" w:color="auto" w:fill="FFFFFF"/>
              </w:rPr>
              <w:t>计算机和相关的外部设备，定期对计算机设备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6"/>
                <w:w w:val="95"/>
                <w:sz w:val="30"/>
                <w:szCs w:val="30"/>
                <w:shd w:val="clear" w:color="auto" w:fill="FFFFFF"/>
              </w:rPr>
              <w:t>进行检查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6"/>
                <w:w w:val="95"/>
                <w:sz w:val="30"/>
                <w:szCs w:val="3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2"/>
                <w:w w:val="95"/>
                <w:sz w:val="30"/>
                <w:szCs w:val="30"/>
                <w:shd w:val="clear" w:color="auto" w:fill="FFFFFF"/>
              </w:rPr>
              <w:t>保障各种设备的正常运行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2"/>
                <w:w w:val="95"/>
                <w:sz w:val="30"/>
                <w:szCs w:val="30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1"/>
                <w:w w:val="95"/>
                <w:sz w:val="30"/>
                <w:szCs w:val="30"/>
                <w:shd w:val="clear" w:color="auto" w:fill="FFFFFF"/>
                <w:lang w:val="en-US" w:eastAsia="zh-CN"/>
              </w:rPr>
              <w:t>2.负责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1"/>
                <w:w w:val="95"/>
                <w:sz w:val="30"/>
                <w:szCs w:val="30"/>
                <w:shd w:val="clear" w:color="auto" w:fill="FFFFFF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1"/>
                <w:w w:val="95"/>
                <w:sz w:val="30"/>
                <w:szCs w:val="30"/>
                <w:shd w:val="clear" w:color="auto" w:fill="FFFFFF"/>
              </w:rPr>
              <w:t>网络系统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1"/>
                <w:w w:val="95"/>
                <w:sz w:val="30"/>
                <w:szCs w:val="30"/>
                <w:shd w:val="clear" w:color="auto" w:fill="FFFFFF"/>
                <w:lang w:eastAsia="zh-CN"/>
              </w:rPr>
              <w:t>和信息安全的外接引入，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1"/>
                <w:w w:val="95"/>
                <w:sz w:val="30"/>
                <w:szCs w:val="30"/>
                <w:shd w:val="clear" w:color="auto" w:fill="FFFFFF"/>
              </w:rPr>
              <w:t>各类软件的正常运行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1"/>
                <w:w w:val="95"/>
                <w:sz w:val="30"/>
                <w:szCs w:val="30"/>
                <w:shd w:val="clear" w:color="auto" w:fill="FFFFFF"/>
                <w:lang w:eastAsia="zh-CN"/>
              </w:rPr>
              <w:t>、维护，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  <w:t>定期做好计算机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eastAsia="zh-CN"/>
              </w:rPr>
              <w:t>系统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  <w:t>数据的备份工作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4"/>
                <w:w w:val="95"/>
                <w:sz w:val="30"/>
                <w:szCs w:val="30"/>
                <w:shd w:val="clear" w:color="auto" w:fill="FFFFFF"/>
              </w:rPr>
              <w:t>负责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4"/>
                <w:w w:val="95"/>
                <w:sz w:val="30"/>
                <w:szCs w:val="30"/>
                <w:shd w:val="clear" w:color="auto" w:fill="FFFFFF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4"/>
                <w:w w:val="95"/>
                <w:sz w:val="30"/>
                <w:szCs w:val="30"/>
                <w:shd w:val="clear" w:color="auto" w:fill="FFFFFF"/>
              </w:rPr>
              <w:t>在计算机相关方面的教育工作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4"/>
                <w:w w:val="95"/>
                <w:sz w:val="30"/>
                <w:szCs w:val="30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  <w:t>负责按时完成贷款客户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eastAsia="zh-CN"/>
              </w:rPr>
              <w:t>数据库的建立及远程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  <w:t>经营动态监管工作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  <w:t>交办的其他工作。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10"/>
                <w:w w:val="95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任职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条件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1．具有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  <w:lang w:eastAsia="zh-CN"/>
              </w:rPr>
              <w:t>计算机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等相关专业国家承认的大学本科及以上学历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  <w:lang w:eastAsia="zh-CN"/>
              </w:rPr>
              <w:t>和相关等级证书；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2．具有较强的计算机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  <w:lang w:eastAsia="zh-CN"/>
              </w:rPr>
              <w:t>网络工程、维修及大数据采、管、用能力、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沟通能力、执行能力和文字表达能力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有较好的抗压能力；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4．具有在银行、融资类投资公司、担保机构、企业经济管理、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  <w:lang w:eastAsia="zh-CN"/>
              </w:rPr>
              <w:t>大型通讯企业相关岗位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等相关工作经验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  <w:lang w:eastAsia="zh-CN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sz w:val="32"/>
                <w:szCs w:val="32"/>
                <w:lang w:val="en-US" w:eastAsia="zh-CN"/>
              </w:rPr>
              <w:t>条件优异者可适当放宽应聘条件。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2C4E"/>
    <w:rsid w:val="5DB72C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2018-04-28T07:12:00Z</dcterms:created>
  <dc:creator>Lcy</dc:creator>
  <cp:lastModifiedBy>Lcy</cp:lastModifiedBy>
  <dcterms:modified xsi:type="dcterms:W3CDTF">2018-04-28T07:15:42Z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