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" w:hAnsi="宋体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560" w:lineRule="exac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泸县农林局直接考核招聘事业单位工作人员岗位要求表</w:t>
      </w:r>
    </w:p>
    <w:tbl>
      <w:tblPr>
        <w:tblStyle w:val="5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611"/>
        <w:gridCol w:w="1020"/>
        <w:gridCol w:w="1039"/>
        <w:gridCol w:w="2332"/>
        <w:gridCol w:w="1382"/>
        <w:gridCol w:w="1038"/>
        <w:gridCol w:w="1215"/>
        <w:gridCol w:w="183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24"/>
              </w:rPr>
              <w:t>其    他</w:t>
            </w: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农林局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泸县畜牧生产科教站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动物遗传育种与繁殖、动物营养与饲料科学、基础兽医学、兽医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农林局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泸县农业技术推广中心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作物栽培学与耕作学、作物遗传育种、作物、园艺、植物病理学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农林局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泸县种子管理站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作物栽培学与耕作学、作物遗传育种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最低服务年限为5年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76C9"/>
    <w:rsid w:val="107976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2018-06-15T01:06:00Z</dcterms:created>
  <dc:creator>Administrator</dc:creator>
  <cp:lastModifiedBy>Administrator</cp:lastModifiedBy>
  <dcterms:modified xsi:type="dcterms:W3CDTF">2018-06-15T01:28:36Z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