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0"/>
        <w:jc w:val="left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招聘职位</w:t>
      </w:r>
    </w:p>
    <w:tbl>
      <w:tblPr>
        <w:tblStyle w:val="4"/>
        <w:tblpPr w:vertAnchor="text" w:tblpXSpec="left"/>
        <w:tblW w:w="833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1195"/>
        <w:gridCol w:w="706"/>
        <w:gridCol w:w="2243"/>
        <w:gridCol w:w="369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22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3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办公室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汉语言文学、应用语言学、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高级文秘、文秘教育、新闻学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全日制本科及以上学历、30周岁以下、因需经常加班，建议男性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人力资源科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公共管理类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全日制本科及以上学历、30周岁以下、常年需要出差，建议男性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医疗服务投诉办公室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卫生事业管理、医学法学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全日制本科及以上学历、30周岁以下、以处理医患纠纷为主，限男性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临床护理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（含助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产士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5名）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全日制大专及以上学历注册护士或取得有效《执业资格考试合格证书》、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lang w:val="en-US" w:eastAsia="zh-CN" w:bidi="ar"/>
              </w:rPr>
              <w:t>30周岁以下；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国家承认的大专及以上学历注册护士、有连续3年及以上临床工作经历、30周岁以下；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助产士须持有效《母婴保健技术考核合格证书》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药材科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药学、临床药学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全日制大专及以上学历、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lang w:val="en-US" w:eastAsia="zh-CN" w:bidi="ar"/>
              </w:rPr>
              <w:t>30周岁以下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计算机科学与技术、网络工程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全日制本科及以上学历、30周岁以下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后勤服务中心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管理类或电力工程类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全日制本科及以上学历、30周岁以下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病案管理科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卫生信息管理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全日制大专及以上学历、30周岁以下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院感科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临床医学、预防医学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全日制本科及以上学历、30周岁以下，建议男性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影像科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医学影像学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全日制大专及以上学历、35周岁以下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影像科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医学影像技术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全日制大专及以上学历、30周岁以下，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男性3名、女性3名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康复科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康复治疗学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全日制大专及以上学历、30周岁以下，建议男性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全日制大专及以上学历、35周岁以下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24BB4"/>
    <w:rsid w:val="06D24BB4"/>
    <w:rsid w:val="6D535020"/>
    <w:rsid w:val="784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2018-06-25T04:28:00Z</dcterms:created>
  <dc:creator>Administrator</dc:creator>
  <cp:lastModifiedBy>xuran</cp:lastModifiedBy>
  <dcterms:modified xsi:type="dcterms:W3CDTF">2018-06-27T02:06:17Z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