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160" w:firstLineChars="50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 w:ascii="方正黑体_GBK" w:eastAsia="方正黑体_GBK"/>
          <w:lang w:val="en-US" w:eastAsia="zh-CN"/>
        </w:rPr>
        <w:t>1</w:t>
      </w:r>
    </w:p>
    <w:p>
      <w:pPr>
        <w:tabs>
          <w:tab w:val="left" w:pos="720"/>
          <w:tab w:val="left" w:pos="7560"/>
        </w:tabs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重庆市璧山区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2018年下半年考核招聘</w:t>
      </w: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高层次人才岗位及条件一览表</w:t>
      </w:r>
    </w:p>
    <w:tbl>
      <w:tblPr>
        <w:tblStyle w:val="3"/>
        <w:tblW w:w="14743" w:type="dxa"/>
        <w:jc w:val="center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2"/>
        <w:gridCol w:w="1500"/>
        <w:gridCol w:w="891"/>
        <w:gridCol w:w="1170"/>
        <w:gridCol w:w="660"/>
        <w:gridCol w:w="2085"/>
        <w:gridCol w:w="2620"/>
        <w:gridCol w:w="719"/>
        <w:gridCol w:w="2400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名额</w:t>
            </w:r>
          </w:p>
        </w:tc>
        <w:tc>
          <w:tcPr>
            <w:tcW w:w="7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基本条件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学历（学位）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璧山高新区         管委会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璧山高新区创新服务中心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综合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专技12级及以上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全日制普通高校研究生学历及相应学位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政治学类，金融学类，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行政管理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公共政策学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管理学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公共管理硕士专业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动力工程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动力机械及工程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color w:val="FF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重庆市璧山区绿岛新区管委会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重庆市璧山区绿岛中心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综合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专技12级及以上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全日制普通高校研究生学历及相应学位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材料学类，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会计学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财务管理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会计硕士专业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专业为“会计学、财务管理、会计硕士专业”的，须具有会计师以上职称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重庆市璧山区     商务局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重庆市璧山区      军粮供应站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财务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专技12级及以上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全日制普通高校研究生学历及相应学位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会计学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财务管理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会计硕士专业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具有会计师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及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以上职称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重庆市璧山区农业委员会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重庆市璧山区璧城畜牧兽医站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土壤技术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专技12级及以上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全日制普通高校研究生学历及相应学位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土壤学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植物营养学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作物栽培学与耕作学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重庆市璧山区      广播电视台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重庆市璧山区      广播电视台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播音主持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专技12级及以上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全日制普通高校研究生学历及相应学位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新闻学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传播学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新闻与传播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普通话一级乙等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方正仿宋_GBK" w:hAnsi="宋体" w:cs="宋体"/>
                <w:kern w:val="0"/>
                <w:sz w:val="20"/>
              </w:rPr>
              <w:t>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重庆市璧山区卫生和计划生育委员会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重庆市璧山区疾病预防控制中心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生物技术岗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专技12级及以上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全日制普通高校研究生学历及相应学位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</w:rPr>
              <w:t>细胞生物学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生物学</w:t>
            </w: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方正仿宋_GBK" w:hAnsi="宋体" w:cs="宋体"/>
                <w:kern w:val="0"/>
                <w:sz w:val="20"/>
              </w:rPr>
              <w:t>生物医学工程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hint="eastAsia" w:ascii="方正仿宋_GBK" w:hAnsi="宋体" w:cs="宋体"/>
                <w:kern w:val="0"/>
                <w:sz w:val="20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cs="宋体"/>
                <w:color w:val="FF0000"/>
                <w:kern w:val="0"/>
                <w:sz w:val="20"/>
              </w:rPr>
            </w:pPr>
          </w:p>
        </w:tc>
      </w:tr>
    </w:tbl>
    <w:p>
      <w:pPr>
        <w:tabs>
          <w:tab w:val="left" w:pos="720"/>
          <w:tab w:val="left" w:pos="7560"/>
        </w:tabs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方正小标宋_GBK" w:eastAsia="方正小标宋_GBK"/>
          <w:sz w:val="30"/>
          <w:szCs w:val="30"/>
        </w:rPr>
      </w:pPr>
    </w:p>
    <w:p>
      <w:pPr/>
    </w:p>
    <w:sectPr>
      <w:pgSz w:w="16838" w:h="11906" w:orient="landscape"/>
      <w:pgMar w:top="1247" w:right="1417" w:bottom="1247" w:left="1417" w:header="851" w:footer="992" w:gutter="0"/>
      <w:cols w:space="720" w:num="1"/>
      <w:rtlGutter w:val="0"/>
      <w:docGrid w:type="lines" w:linePitch="4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A45AC"/>
    <w:rsid w:val="19F10F3D"/>
    <w:rsid w:val="25FA45AC"/>
    <w:rsid w:val="433126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2018-07-11T06:34:00Z</dcterms:created>
  <dc:creator>Administrator</dc:creator>
  <cp:lastModifiedBy>Administrator</cp:lastModifiedBy>
  <dcterms:modified xsi:type="dcterms:W3CDTF">2018-07-11T07:22:13Z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