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sz w:val="28"/>
          <w:szCs w:val="28"/>
        </w:rPr>
        <w:t>安吉县卫计系统下属事业单位2018年公开招聘编外工作人员计划表</w:t>
      </w:r>
    </w:p>
    <w:tbl>
      <w:tblPr>
        <w:tblStyle w:val="4"/>
        <w:tblW w:w="1376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80"/>
        <w:gridCol w:w="949"/>
        <w:gridCol w:w="992"/>
        <w:gridCol w:w="699"/>
        <w:gridCol w:w="1660"/>
        <w:gridCol w:w="3280"/>
        <w:gridCol w:w="4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招聘人数合计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其它要求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基建管理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病案统计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卫生信息管理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放射技术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康复治疗技术、康复治疗学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针灸推拿学、康复医学与理疗学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针灸推拿学专业须持有住院医师规陪合格证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全日制中专及以上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须取得护士执业资格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县二院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取得助理医师资格及以上者，学历放宽到全日制中专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心电图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取得助理医师资格及以上者，学历放宽到全日制中专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取得护士执业资格且在护理岗位工作2年及以上者，学历放宽到全日制中专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县三院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中药房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全日制中专及以上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设备科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县中医院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康复治疗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放射技术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120随车医生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临床医学、中医学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医学检验技术、医学检验学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县妇保院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医学检验、医学检验技术、临床医学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护理、护理学、助产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30周岁以下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天子湖镇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护理1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全日制中专及以上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须取得护士执业资格；到天子湖中心卫生院上班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护理2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全日制中专及以上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须取得护士执业资格；到南北湖分院上班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昌硕街道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全科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全日制中专及以上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须取得执业助理医师资格和全科医师证，年龄放宽至45周岁及以下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白水卫生院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检验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卫生检验与检疫技术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天荒坪镇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全日制中专及以上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非应届生须取得检验士资格，需到服务站工作。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鄣吴镇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挂号收费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会计、会计电算化、会计与统计核算、会计与审计、会计学、财务管理、财务信息管理、审计学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color w:val="000000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910AD"/>
    <w:rsid w:val="271136D8"/>
    <w:rsid w:val="682910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2018-08-07T02:26:00Z</dcterms:created>
  <dc:creator>武大娟</dc:creator>
  <cp:lastModifiedBy>xuran</cp:lastModifiedBy>
  <dcterms:modified xsi:type="dcterms:W3CDTF">2018-08-07T07:34:58Z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