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黑体_GBK" w:hAnsi="微软雅黑" w:eastAsia="方正黑体_GBK"/>
          <w:color w:val="000000" w:themeColor="text1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黑体_GBK" w:hAnsi="微软雅黑" w:eastAsia="方正黑体_GBK"/>
          <w:color w:val="000000" w:themeColor="text1"/>
          <w:sz w:val="32"/>
          <w:szCs w:val="32"/>
          <w:highlight w:val="none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微软雅黑" w:eastAsia="方正小标宋_GBK"/>
          <w:color w:val="000000" w:themeColor="text1"/>
          <w:sz w:val="32"/>
          <w:szCs w:val="32"/>
          <w:highlight w:val="none"/>
        </w:rPr>
      </w:pPr>
      <w:r>
        <w:rPr>
          <w:rFonts w:hint="eastAsia" w:ascii="方正小标宋_GBK" w:hAnsi="微软雅黑" w:eastAsia="方正小标宋_GBK"/>
          <w:color w:val="000000" w:themeColor="text1"/>
          <w:sz w:val="32"/>
          <w:szCs w:val="32"/>
          <w:highlight w:val="none"/>
        </w:rPr>
        <w:t>合川区2018年公开选聘卫生事业单位人员岗位一览表</w:t>
      </w:r>
    </w:p>
    <w:tbl>
      <w:tblPr>
        <w:tblStyle w:val="9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7"/>
        <w:gridCol w:w="711"/>
        <w:gridCol w:w="751"/>
        <w:gridCol w:w="1000"/>
        <w:gridCol w:w="1000"/>
        <w:gridCol w:w="1696"/>
        <w:gridCol w:w="740"/>
        <w:gridCol w:w="2237"/>
        <w:gridCol w:w="264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编号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选聘单位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选聘岗位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选聘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名额</w:t>
            </w:r>
          </w:p>
        </w:tc>
        <w:tc>
          <w:tcPr>
            <w:tcW w:w="93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选聘条件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kern w:val="0"/>
                <w:szCs w:val="21"/>
                <w:highlight w:val="none"/>
              </w:rPr>
              <w:t>报名联系人及咨询电话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年龄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学历</w:t>
            </w: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:lang w:val="en-US" w:eastAsia="zh-CN"/>
              </w:rPr>
              <w:t>(学位）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性别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专业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  <w:t>其他条件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18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区人民医院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全日制普通高校研究生学历并取得相应学位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中医内科学、中西医结合、老年病学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程老师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42750686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19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影像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医学影像学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取得肿瘤放射治疗技术副主任技师及以上资格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20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儿科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全日制普通高校研究生学历并取得相应学位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 xml:space="preserve">儿科医学、临床医学                           </w:t>
            </w: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儿科学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取得专业相对应中级及以上资格者，学历可放宽至全日制本科并取得相应学位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区中医院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临床医学类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取得执业医师资格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22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区结合医院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影像（超声）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医学影像学、医学影像</w:t>
            </w:r>
          </w:p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研究生: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医学技术、影像医学与核医学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23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中西医结合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中西医结合基础、中西医结合临床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取得专业相对应中级及以上资格者，学历可放宽至全日制普通高校专科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区妇幼保健计划服务中心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临床医学类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取得副主任医师及以上资格，执业范围妇产科。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合川中心血站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检验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医学检验、医学检验技术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26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区精神卫生中心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影像（超声）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医学影像学、医学影像、影像医学与核医学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27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临床医学、康复治疗学、康复医学与理疗学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28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心理咨询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心理学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盐井街道社区卫生服务中心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针灸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全日制普通高校专科及以上学历并取得相应学位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针灸推拿、针灸推拿学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取得执业（助理）医师及以上资格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程老师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42750686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东津沱社区卫生服务中心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中医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中医学类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取得执业（助理）医师及以上资格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31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取得执业（助理）医师及以上资格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32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第二人民医院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内科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取得执业医师资格（执业范围：临床，执业类别：内科）或取得住院医师规范化培训合格证书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33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临床医学类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取得执业医师资格（执业范围：临床，执业类别：妇产科）或取得住院医师规范化培训合格证书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34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太和中心卫生院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内科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临床医学、内科学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取得执业（助理）医师及以上资格（执业类别：临床，执业范围：内科）者，学历可放宽至全日制普通高校专科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35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外科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临床医学、外科学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取得执业（助理）医师及以上资格（执业类别：临床，执业范围：外科）者，学历可放宽至全日制普通高校专科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36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官渡中心卫生院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影像（超声）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不限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医学影像学、医学影像、影像医学与核医学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合计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</w:pP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fldChar w:fldCharType="begin"/>
            </w: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instrText xml:space="preserve">=SUM(ABOVE)</w:instrText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fldChar w:fldCharType="separate"/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t>22</w:t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  <w:fldChar w:fldCharType="end"/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方正黑体_GBK" w:hAnsi="微软雅黑" w:eastAsia="方正黑体_GBK"/>
          <w:color w:val="000000" w:themeColor="text1"/>
          <w:sz w:val="21"/>
          <w:szCs w:val="21"/>
          <w:highlight w:val="none"/>
        </w:rPr>
      </w:pPr>
    </w:p>
    <w:sectPr>
      <w:footerReference r:id="rId3" w:type="default"/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157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2"/>
    <w:rsid w:val="000220A9"/>
    <w:rsid w:val="00036056"/>
    <w:rsid w:val="00076D5F"/>
    <w:rsid w:val="0008168E"/>
    <w:rsid w:val="000B487A"/>
    <w:rsid w:val="000B56D8"/>
    <w:rsid w:val="000D22BF"/>
    <w:rsid w:val="00111466"/>
    <w:rsid w:val="0013518E"/>
    <w:rsid w:val="00153772"/>
    <w:rsid w:val="001701B7"/>
    <w:rsid w:val="001C1A39"/>
    <w:rsid w:val="001F3111"/>
    <w:rsid w:val="001F4676"/>
    <w:rsid w:val="001F5E08"/>
    <w:rsid w:val="002120C1"/>
    <w:rsid w:val="00232B8E"/>
    <w:rsid w:val="00233EF4"/>
    <w:rsid w:val="00244759"/>
    <w:rsid w:val="0025765C"/>
    <w:rsid w:val="002676CE"/>
    <w:rsid w:val="00291379"/>
    <w:rsid w:val="0029165F"/>
    <w:rsid w:val="002E0D05"/>
    <w:rsid w:val="00322641"/>
    <w:rsid w:val="00325C16"/>
    <w:rsid w:val="0037373C"/>
    <w:rsid w:val="003A2550"/>
    <w:rsid w:val="003F6B3F"/>
    <w:rsid w:val="0044634A"/>
    <w:rsid w:val="00454C10"/>
    <w:rsid w:val="004839B7"/>
    <w:rsid w:val="004A0E1A"/>
    <w:rsid w:val="004C654D"/>
    <w:rsid w:val="004C7683"/>
    <w:rsid w:val="004E457F"/>
    <w:rsid w:val="005050FD"/>
    <w:rsid w:val="005419B9"/>
    <w:rsid w:val="0055603D"/>
    <w:rsid w:val="0057008F"/>
    <w:rsid w:val="005736CF"/>
    <w:rsid w:val="005862D2"/>
    <w:rsid w:val="005863B4"/>
    <w:rsid w:val="005D1646"/>
    <w:rsid w:val="005F1493"/>
    <w:rsid w:val="00624E37"/>
    <w:rsid w:val="00630D16"/>
    <w:rsid w:val="006351B1"/>
    <w:rsid w:val="00650F73"/>
    <w:rsid w:val="006843E8"/>
    <w:rsid w:val="006C0401"/>
    <w:rsid w:val="006C5CB2"/>
    <w:rsid w:val="006F4BCF"/>
    <w:rsid w:val="00700911"/>
    <w:rsid w:val="0070182A"/>
    <w:rsid w:val="007364A0"/>
    <w:rsid w:val="00750D0A"/>
    <w:rsid w:val="00762A53"/>
    <w:rsid w:val="007675FC"/>
    <w:rsid w:val="00767735"/>
    <w:rsid w:val="00781599"/>
    <w:rsid w:val="00797A79"/>
    <w:rsid w:val="007A47B3"/>
    <w:rsid w:val="007F63F0"/>
    <w:rsid w:val="00802AC0"/>
    <w:rsid w:val="00802AF5"/>
    <w:rsid w:val="00813C4B"/>
    <w:rsid w:val="0082470B"/>
    <w:rsid w:val="00882F0A"/>
    <w:rsid w:val="008A2A69"/>
    <w:rsid w:val="008E0F13"/>
    <w:rsid w:val="00905D89"/>
    <w:rsid w:val="00930DFA"/>
    <w:rsid w:val="00955E96"/>
    <w:rsid w:val="00970C89"/>
    <w:rsid w:val="009714EA"/>
    <w:rsid w:val="009759CC"/>
    <w:rsid w:val="009A0EC3"/>
    <w:rsid w:val="009B5A93"/>
    <w:rsid w:val="009C4740"/>
    <w:rsid w:val="009C7F82"/>
    <w:rsid w:val="00A01981"/>
    <w:rsid w:val="00A1266B"/>
    <w:rsid w:val="00A20FA5"/>
    <w:rsid w:val="00A76496"/>
    <w:rsid w:val="00AA76FF"/>
    <w:rsid w:val="00AB0543"/>
    <w:rsid w:val="00AC29DE"/>
    <w:rsid w:val="00AD751B"/>
    <w:rsid w:val="00AE0D31"/>
    <w:rsid w:val="00AF48A3"/>
    <w:rsid w:val="00AF6D9C"/>
    <w:rsid w:val="00B37A10"/>
    <w:rsid w:val="00B64406"/>
    <w:rsid w:val="00BE4066"/>
    <w:rsid w:val="00BE65F7"/>
    <w:rsid w:val="00BE79D7"/>
    <w:rsid w:val="00C02C45"/>
    <w:rsid w:val="00C141FB"/>
    <w:rsid w:val="00C26C71"/>
    <w:rsid w:val="00C62862"/>
    <w:rsid w:val="00C74E1D"/>
    <w:rsid w:val="00C924B1"/>
    <w:rsid w:val="00CE64D6"/>
    <w:rsid w:val="00CE7AD9"/>
    <w:rsid w:val="00D15081"/>
    <w:rsid w:val="00D31FFC"/>
    <w:rsid w:val="00D376F7"/>
    <w:rsid w:val="00D61278"/>
    <w:rsid w:val="00D75F6B"/>
    <w:rsid w:val="00D84096"/>
    <w:rsid w:val="00D857BC"/>
    <w:rsid w:val="00D95248"/>
    <w:rsid w:val="00DD14C8"/>
    <w:rsid w:val="00E53E51"/>
    <w:rsid w:val="00E55EB7"/>
    <w:rsid w:val="00E609F4"/>
    <w:rsid w:val="00E774E5"/>
    <w:rsid w:val="00E91986"/>
    <w:rsid w:val="00E91BC5"/>
    <w:rsid w:val="00EA1BC0"/>
    <w:rsid w:val="00ED2325"/>
    <w:rsid w:val="00ED266B"/>
    <w:rsid w:val="00EF26DB"/>
    <w:rsid w:val="00EF285E"/>
    <w:rsid w:val="00F2344F"/>
    <w:rsid w:val="00F40683"/>
    <w:rsid w:val="00F853D5"/>
    <w:rsid w:val="00FB0DC9"/>
    <w:rsid w:val="00FE0892"/>
    <w:rsid w:val="00FE0BB5"/>
    <w:rsid w:val="00FE6009"/>
    <w:rsid w:val="00FF114A"/>
    <w:rsid w:val="01012696"/>
    <w:rsid w:val="029E3F53"/>
    <w:rsid w:val="03DF51FE"/>
    <w:rsid w:val="04170C6F"/>
    <w:rsid w:val="047B180C"/>
    <w:rsid w:val="04B863C0"/>
    <w:rsid w:val="04EF7495"/>
    <w:rsid w:val="054F297C"/>
    <w:rsid w:val="076C24E6"/>
    <w:rsid w:val="07D826CD"/>
    <w:rsid w:val="0A8A3889"/>
    <w:rsid w:val="0D7C224B"/>
    <w:rsid w:val="0D8671AE"/>
    <w:rsid w:val="0EA92475"/>
    <w:rsid w:val="0F017165"/>
    <w:rsid w:val="0FB00B2A"/>
    <w:rsid w:val="111C78B7"/>
    <w:rsid w:val="119B7390"/>
    <w:rsid w:val="14D50A08"/>
    <w:rsid w:val="186077F6"/>
    <w:rsid w:val="197852E8"/>
    <w:rsid w:val="1AC219C7"/>
    <w:rsid w:val="1C267A3E"/>
    <w:rsid w:val="1FD050F5"/>
    <w:rsid w:val="20321F0A"/>
    <w:rsid w:val="21A36AD6"/>
    <w:rsid w:val="23563021"/>
    <w:rsid w:val="23675523"/>
    <w:rsid w:val="24AF73C3"/>
    <w:rsid w:val="24F06A9D"/>
    <w:rsid w:val="27E76DC8"/>
    <w:rsid w:val="28EA7ED9"/>
    <w:rsid w:val="29FB33FD"/>
    <w:rsid w:val="2A5022D5"/>
    <w:rsid w:val="2DC35886"/>
    <w:rsid w:val="2DCF265C"/>
    <w:rsid w:val="31D10E2A"/>
    <w:rsid w:val="31D667D3"/>
    <w:rsid w:val="320840A5"/>
    <w:rsid w:val="327843CA"/>
    <w:rsid w:val="32CE0023"/>
    <w:rsid w:val="32DF075B"/>
    <w:rsid w:val="32E12F81"/>
    <w:rsid w:val="33893053"/>
    <w:rsid w:val="34AE4CCB"/>
    <w:rsid w:val="35567001"/>
    <w:rsid w:val="360974D7"/>
    <w:rsid w:val="395B2F4D"/>
    <w:rsid w:val="3A8C2CB7"/>
    <w:rsid w:val="3B3D5CC1"/>
    <w:rsid w:val="3C570363"/>
    <w:rsid w:val="3E7250B1"/>
    <w:rsid w:val="3EA87DFA"/>
    <w:rsid w:val="3F1B095D"/>
    <w:rsid w:val="401E0348"/>
    <w:rsid w:val="424130A4"/>
    <w:rsid w:val="4289711E"/>
    <w:rsid w:val="434A377B"/>
    <w:rsid w:val="44553F89"/>
    <w:rsid w:val="45011EC2"/>
    <w:rsid w:val="45072A7F"/>
    <w:rsid w:val="458E2E41"/>
    <w:rsid w:val="476E20DA"/>
    <w:rsid w:val="477F3F2D"/>
    <w:rsid w:val="47C62E35"/>
    <w:rsid w:val="49360043"/>
    <w:rsid w:val="4AD10138"/>
    <w:rsid w:val="4BAF6250"/>
    <w:rsid w:val="4C8B5C25"/>
    <w:rsid w:val="4F324CAB"/>
    <w:rsid w:val="50A05F29"/>
    <w:rsid w:val="51552D82"/>
    <w:rsid w:val="5368083C"/>
    <w:rsid w:val="53CC6DA8"/>
    <w:rsid w:val="54F55EDB"/>
    <w:rsid w:val="55113C0E"/>
    <w:rsid w:val="551D14A4"/>
    <w:rsid w:val="55A539E3"/>
    <w:rsid w:val="56A76B89"/>
    <w:rsid w:val="5730634D"/>
    <w:rsid w:val="58891170"/>
    <w:rsid w:val="589D65F2"/>
    <w:rsid w:val="5D8C118C"/>
    <w:rsid w:val="5F8E611D"/>
    <w:rsid w:val="615F4419"/>
    <w:rsid w:val="63697D27"/>
    <w:rsid w:val="642709A9"/>
    <w:rsid w:val="660A525F"/>
    <w:rsid w:val="681206AC"/>
    <w:rsid w:val="692062B5"/>
    <w:rsid w:val="69253CB1"/>
    <w:rsid w:val="69F61148"/>
    <w:rsid w:val="6AD349BD"/>
    <w:rsid w:val="6EBD1A69"/>
    <w:rsid w:val="6FA308BA"/>
    <w:rsid w:val="70BB6EC4"/>
    <w:rsid w:val="71E766CF"/>
    <w:rsid w:val="75707135"/>
    <w:rsid w:val="7A805919"/>
    <w:rsid w:val="7D885692"/>
    <w:rsid w:val="7EAA4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99"/>
    <w:rPr>
      <w:color w:val="auto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apple-tab-span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75FA0-087A-4B07-A4D3-DC6F07117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2018-07-26T02:48:00Z</dcterms:created>
  <dc:creator>ACER</dc:creator>
  <cp:lastModifiedBy>xuran</cp:lastModifiedBy>
  <cp:lastPrinted>2018-08-06T02:04:00Z</cp:lastPrinted>
  <dcterms:modified xsi:type="dcterms:W3CDTF">2018-08-08T09:02:10Z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