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附2：</w:t>
      </w:r>
    </w:p>
    <w:p>
      <w:pPr>
        <w:widowControl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相关专业技能岗位要求</w:t>
      </w:r>
    </w:p>
    <w:bookmarkEnd w:id="0"/>
    <w:p>
      <w:pPr>
        <w:widowControl/>
        <w:spacing w:line="560" w:lineRule="exact"/>
        <w:jc w:val="center"/>
        <w:rPr>
          <w:rFonts w:hint="eastAsia" w:ascii="仿宋_GB2312" w:hAnsi="仿宋"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1、计算机网络工程管理等岗位</w:t>
      </w:r>
      <w:r>
        <w:rPr>
          <w:rFonts w:hint="eastAsia" w:ascii="仿宋_GB2312" w:hAnsi="仿宋" w:eastAsia="仿宋_GB2312"/>
          <w:kern w:val="0"/>
          <w:sz w:val="32"/>
          <w:szCs w:val="32"/>
        </w:rPr>
        <w:t>专业技术要求：（1）计算机通信技术、电子通信工程等相关专业全日制本科以上学历；（2）熟悉Windows、Linux、Unix等计算机操作系统,Oracle、MS-SQLserver等数据库软件、具有网络和电子通信工程基础知识；熟悉主流安全产品的配置与运维工作；掌握网络管理常用软件、防病毒软件等网络信息安全技术知识；熟悉其他涉及科技信息化领域知识；（3）具备Oracle、思科、华为等认证证书者优先；（4）具备计算机通信技术、电子通信工程领域工作经验满1年以上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、交通信号灯维护管理岗位专业技术要求：（1）计算机应用与维护、电子通信、交通信息工程与控制等相关专业全日制大专以上学历；（2）熟悉电子与电工领域知识；（3）具备交通信息技术、电子通信工程等相关领域工作经验满1年以上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3、文秘岗位要求：（1）大专以上学历，能熟练掌握OFFICE办公软件；（2）熟悉一般办公设备的基本操作；（3）具备较好的写作能力、语言表达能力、沟通协调能力。</w:t>
      </w:r>
    </w:p>
    <w:p/>
    <w:sectPr>
      <w:footerReference r:id="rId3" w:type="default"/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44EF"/>
    <w:rsid w:val="474044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2018-08-30T09:06:00Z</dcterms:created>
  <dc:creator>Administrator</dc:creator>
  <cp:lastModifiedBy>Administrator</cp:lastModifiedBy>
  <dcterms:modified xsi:type="dcterms:W3CDTF">2018-08-30T09:07:55Z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