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宋体" w:cs="宋体"/>
          <w:b/>
          <w:bCs/>
          <w:kern w:val="0"/>
          <w:sz w:val="24"/>
          <w:lang w:val="zh-CN"/>
        </w:rPr>
      </w:pPr>
      <w:r>
        <w:rPr>
          <w:rFonts w:hint="eastAsia" w:ascii="宋体" w:cs="宋体"/>
          <w:b/>
          <w:bCs/>
          <w:kern w:val="0"/>
          <w:sz w:val="24"/>
          <w:lang w:val="zh-CN"/>
        </w:rPr>
        <w:t>附件二：</w:t>
      </w:r>
    </w:p>
    <w:p>
      <w:pPr>
        <w:spacing w:line="460" w:lineRule="exact"/>
        <w:jc w:val="center"/>
        <w:rPr>
          <w:rFonts w:ascii="宋体" w:hAnsi="宋体"/>
          <w:b/>
          <w:szCs w:val="32"/>
        </w:rPr>
      </w:pPr>
      <w:r>
        <w:rPr>
          <w:rFonts w:hint="eastAsia" w:ascii="宋体" w:hAnsi="宋体"/>
          <w:b/>
          <w:szCs w:val="32"/>
        </w:rPr>
        <w:t>北京市政府专职消防员招聘体能测试内容和评分标准</w:t>
      </w:r>
    </w:p>
    <w:p>
      <w:pPr>
        <w:spacing w:line="460" w:lineRule="exact"/>
        <w:jc w:val="center"/>
        <w:rPr>
          <w:rFonts w:ascii="宋体" w:hAnsi="宋体"/>
          <w:b/>
          <w:szCs w:val="32"/>
        </w:rPr>
      </w:pPr>
      <w:r>
        <w:rPr>
          <w:rFonts w:hint="eastAsia" w:ascii="宋体" w:hAnsi="宋体"/>
          <w:b/>
          <w:szCs w:val="32"/>
        </w:rPr>
        <w:t xml:space="preserve"> </w:t>
      </w:r>
    </w:p>
    <w:tbl>
      <w:tblPr>
        <w:tblStyle w:val="5"/>
        <w:tblW w:w="1276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434"/>
        <w:gridCol w:w="2127"/>
        <w:gridCol w:w="2127"/>
        <w:gridCol w:w="1434"/>
        <w:gridCol w:w="2127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5" w:type="dxa"/>
            <w:vMerge w:val="restart"/>
            <w:vAlign w:val="center"/>
          </w:tcPr>
          <w:p>
            <w:pPr>
              <w:spacing w:line="460" w:lineRule="exact"/>
              <w:ind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</w:rPr>
              <w:t>得分</w:t>
            </w:r>
          </w:p>
        </w:tc>
        <w:tc>
          <w:tcPr>
            <w:tcW w:w="5688" w:type="dxa"/>
            <w:gridSpan w:val="3"/>
            <w:vAlign w:val="center"/>
          </w:tcPr>
          <w:p>
            <w:pPr>
              <w:spacing w:line="460" w:lineRule="exact"/>
              <w:ind w:firstLine="1099" w:firstLineChars="458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</w:rPr>
              <w:t>30周岁（含）以下人员</w:t>
            </w:r>
          </w:p>
        </w:tc>
        <w:tc>
          <w:tcPr>
            <w:tcW w:w="5688" w:type="dxa"/>
            <w:gridSpan w:val="3"/>
            <w:vAlign w:val="center"/>
          </w:tcPr>
          <w:p>
            <w:pPr>
              <w:spacing w:line="460" w:lineRule="exact"/>
              <w:ind w:firstLine="1574" w:firstLineChars="656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</w:rPr>
              <w:t>30周岁以上人员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385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60" w:lineRule="exact"/>
              <w:ind w:firstLine="0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</w:rPr>
              <w:t>1500米跑</w:t>
            </w:r>
          </w:p>
        </w:tc>
        <w:tc>
          <w:tcPr>
            <w:tcW w:w="2127" w:type="dxa"/>
            <w:vAlign w:val="center"/>
          </w:tcPr>
          <w:p>
            <w:pPr>
              <w:spacing w:line="460" w:lineRule="exact"/>
              <w:ind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</w:rPr>
              <w:t>仰卧起坐</w:t>
            </w:r>
          </w:p>
          <w:p>
            <w:pPr>
              <w:spacing w:line="460" w:lineRule="exact"/>
              <w:ind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</w:rPr>
              <w:t>（1分钟次数）</w:t>
            </w:r>
          </w:p>
        </w:tc>
        <w:tc>
          <w:tcPr>
            <w:tcW w:w="2127" w:type="dxa"/>
            <w:vAlign w:val="center"/>
          </w:tcPr>
          <w:p>
            <w:pPr>
              <w:spacing w:line="460" w:lineRule="exact"/>
              <w:ind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</w:rPr>
              <w:t>跳    绳</w:t>
            </w:r>
          </w:p>
          <w:p>
            <w:pPr>
              <w:spacing w:line="460" w:lineRule="exact"/>
              <w:ind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</w:rPr>
              <w:t>（1分钟次数）</w:t>
            </w:r>
          </w:p>
        </w:tc>
        <w:tc>
          <w:tcPr>
            <w:tcW w:w="1434" w:type="dxa"/>
            <w:vAlign w:val="center"/>
          </w:tcPr>
          <w:p>
            <w:pPr>
              <w:spacing w:line="460" w:lineRule="exact"/>
              <w:ind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</w:rPr>
              <w:t>1500米跑</w:t>
            </w:r>
          </w:p>
        </w:tc>
        <w:tc>
          <w:tcPr>
            <w:tcW w:w="2127" w:type="dxa"/>
            <w:vAlign w:val="center"/>
          </w:tcPr>
          <w:p>
            <w:pPr>
              <w:spacing w:line="460" w:lineRule="exact"/>
              <w:ind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</w:rPr>
              <w:t>仰卧起坐</w:t>
            </w:r>
          </w:p>
          <w:p>
            <w:pPr>
              <w:spacing w:line="460" w:lineRule="exact"/>
              <w:ind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</w:rPr>
              <w:t>（1分钟次数）</w:t>
            </w:r>
          </w:p>
        </w:tc>
        <w:tc>
          <w:tcPr>
            <w:tcW w:w="2127" w:type="dxa"/>
            <w:vAlign w:val="center"/>
          </w:tcPr>
          <w:p>
            <w:pPr>
              <w:spacing w:line="460" w:lineRule="exact"/>
              <w:ind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</w:rPr>
              <w:t>跳 绳</w:t>
            </w:r>
          </w:p>
          <w:p>
            <w:pPr>
              <w:spacing w:line="460" w:lineRule="exact"/>
              <w:ind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</w:rPr>
              <w:t>（1分钟次数）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85" w:type="dxa"/>
            <w:vAlign w:val="center"/>
          </w:tcPr>
          <w:p>
            <w:pPr>
              <w:spacing w:line="4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100</w:t>
            </w:r>
          </w:p>
        </w:tc>
        <w:tc>
          <w:tcPr>
            <w:tcW w:w="1434" w:type="dxa"/>
            <w:vAlign w:val="center"/>
          </w:tcPr>
          <w:p>
            <w:pPr>
              <w:spacing w:line="460" w:lineRule="exact"/>
              <w:ind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5′30</w:t>
            </w:r>
          </w:p>
        </w:tc>
        <w:tc>
          <w:tcPr>
            <w:tcW w:w="212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160</w:t>
            </w:r>
          </w:p>
        </w:tc>
        <w:tc>
          <w:tcPr>
            <w:tcW w:w="1434" w:type="dxa"/>
            <w:vAlign w:val="center"/>
          </w:tcPr>
          <w:p>
            <w:pPr>
              <w:spacing w:line="460" w:lineRule="exact"/>
              <w:ind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6′</w:t>
            </w:r>
          </w:p>
        </w:tc>
        <w:tc>
          <w:tcPr>
            <w:tcW w:w="212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45</w:t>
            </w:r>
          </w:p>
        </w:tc>
        <w:tc>
          <w:tcPr>
            <w:tcW w:w="212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5" w:type="dxa"/>
            <w:vAlign w:val="center"/>
          </w:tcPr>
          <w:p>
            <w:pPr>
              <w:spacing w:line="4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90</w:t>
            </w:r>
          </w:p>
        </w:tc>
        <w:tc>
          <w:tcPr>
            <w:tcW w:w="1434" w:type="dxa"/>
            <w:vAlign w:val="center"/>
          </w:tcPr>
          <w:p>
            <w:pPr>
              <w:spacing w:line="460" w:lineRule="exact"/>
              <w:ind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5′45″</w:t>
            </w:r>
          </w:p>
        </w:tc>
        <w:tc>
          <w:tcPr>
            <w:tcW w:w="212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45</w:t>
            </w:r>
          </w:p>
        </w:tc>
        <w:tc>
          <w:tcPr>
            <w:tcW w:w="212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150</w:t>
            </w:r>
          </w:p>
        </w:tc>
        <w:tc>
          <w:tcPr>
            <w:tcW w:w="1434" w:type="dxa"/>
            <w:vAlign w:val="center"/>
          </w:tcPr>
          <w:p>
            <w:pPr>
              <w:spacing w:line="460" w:lineRule="exact"/>
              <w:ind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6′15</w:t>
            </w:r>
          </w:p>
        </w:tc>
        <w:tc>
          <w:tcPr>
            <w:tcW w:w="212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40</w:t>
            </w:r>
          </w:p>
        </w:tc>
        <w:tc>
          <w:tcPr>
            <w:tcW w:w="212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140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5" w:type="dxa"/>
            <w:vAlign w:val="center"/>
          </w:tcPr>
          <w:p>
            <w:pPr>
              <w:spacing w:line="4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80</w:t>
            </w:r>
          </w:p>
        </w:tc>
        <w:tc>
          <w:tcPr>
            <w:tcW w:w="1434" w:type="dxa"/>
            <w:vAlign w:val="center"/>
          </w:tcPr>
          <w:p>
            <w:pPr>
              <w:spacing w:line="460" w:lineRule="exact"/>
              <w:ind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6′</w:t>
            </w:r>
          </w:p>
        </w:tc>
        <w:tc>
          <w:tcPr>
            <w:tcW w:w="212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40</w:t>
            </w:r>
          </w:p>
        </w:tc>
        <w:tc>
          <w:tcPr>
            <w:tcW w:w="212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140</w:t>
            </w:r>
          </w:p>
        </w:tc>
        <w:tc>
          <w:tcPr>
            <w:tcW w:w="1434" w:type="dxa"/>
            <w:vAlign w:val="center"/>
          </w:tcPr>
          <w:p>
            <w:pPr>
              <w:spacing w:line="460" w:lineRule="exact"/>
              <w:ind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6′30</w:t>
            </w:r>
          </w:p>
        </w:tc>
        <w:tc>
          <w:tcPr>
            <w:tcW w:w="212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35</w:t>
            </w:r>
          </w:p>
        </w:tc>
        <w:tc>
          <w:tcPr>
            <w:tcW w:w="212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130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85" w:type="dxa"/>
            <w:vAlign w:val="center"/>
          </w:tcPr>
          <w:p>
            <w:pPr>
              <w:spacing w:line="4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70</w:t>
            </w:r>
          </w:p>
        </w:tc>
        <w:tc>
          <w:tcPr>
            <w:tcW w:w="1434" w:type="dxa"/>
            <w:vAlign w:val="center"/>
          </w:tcPr>
          <w:p>
            <w:pPr>
              <w:spacing w:line="460" w:lineRule="exact"/>
              <w:ind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6′15″</w:t>
            </w:r>
          </w:p>
        </w:tc>
        <w:tc>
          <w:tcPr>
            <w:tcW w:w="212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35</w:t>
            </w:r>
          </w:p>
        </w:tc>
        <w:tc>
          <w:tcPr>
            <w:tcW w:w="212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130</w:t>
            </w:r>
          </w:p>
        </w:tc>
        <w:tc>
          <w:tcPr>
            <w:tcW w:w="1434" w:type="dxa"/>
            <w:vAlign w:val="center"/>
          </w:tcPr>
          <w:p>
            <w:pPr>
              <w:spacing w:line="460" w:lineRule="exact"/>
              <w:ind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6′45</w:t>
            </w:r>
          </w:p>
        </w:tc>
        <w:tc>
          <w:tcPr>
            <w:tcW w:w="212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30</w:t>
            </w:r>
          </w:p>
        </w:tc>
        <w:tc>
          <w:tcPr>
            <w:tcW w:w="212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5" w:type="dxa"/>
            <w:vAlign w:val="center"/>
          </w:tcPr>
          <w:p>
            <w:pPr>
              <w:spacing w:line="4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60</w:t>
            </w:r>
          </w:p>
        </w:tc>
        <w:tc>
          <w:tcPr>
            <w:tcW w:w="1434" w:type="dxa"/>
            <w:vAlign w:val="center"/>
          </w:tcPr>
          <w:p>
            <w:pPr>
              <w:spacing w:line="460" w:lineRule="exact"/>
              <w:ind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6′30</w:t>
            </w:r>
          </w:p>
        </w:tc>
        <w:tc>
          <w:tcPr>
            <w:tcW w:w="212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30</w:t>
            </w:r>
          </w:p>
        </w:tc>
        <w:tc>
          <w:tcPr>
            <w:tcW w:w="212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120</w:t>
            </w:r>
          </w:p>
        </w:tc>
        <w:tc>
          <w:tcPr>
            <w:tcW w:w="1434" w:type="dxa"/>
            <w:vAlign w:val="center"/>
          </w:tcPr>
          <w:p>
            <w:pPr>
              <w:spacing w:line="460" w:lineRule="exact"/>
              <w:ind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7′</w:t>
            </w:r>
          </w:p>
        </w:tc>
        <w:tc>
          <w:tcPr>
            <w:tcW w:w="212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25</w:t>
            </w:r>
          </w:p>
        </w:tc>
        <w:tc>
          <w:tcPr>
            <w:tcW w:w="212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1385" w:type="dxa"/>
            <w:vAlign w:val="center"/>
          </w:tcPr>
          <w:p>
            <w:pPr>
              <w:spacing w:line="460" w:lineRule="exact"/>
              <w:ind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</w:rPr>
              <w:t>备注</w:t>
            </w:r>
          </w:p>
        </w:tc>
        <w:tc>
          <w:tcPr>
            <w:tcW w:w="11376" w:type="dxa"/>
            <w:gridSpan w:val="6"/>
            <w:vAlign w:val="center"/>
          </w:tcPr>
          <w:p>
            <w:pPr>
              <w:spacing w:line="4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1、任选2项体能测试，其中1500米跑为必考项目。</w:t>
            </w:r>
          </w:p>
          <w:p>
            <w:pPr>
              <w:spacing w:line="4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2、平均成绩低于60分为不合格。</w:t>
            </w:r>
          </w:p>
          <w:p>
            <w:pPr>
              <w:spacing w:line="4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3、每名成绩不合格的考生均有一次复试资格。</w:t>
            </w:r>
          </w:p>
        </w:tc>
      </w:tr>
    </w:tbl>
    <w:p>
      <w:pPr>
        <w:pStyle w:val="3"/>
        <w:spacing w:before="0" w:beforeAutospacing="0" w:after="0" w:afterAutospacing="0" w:line="560" w:lineRule="exact"/>
        <w:jc w:val="both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474" w:right="1985" w:bottom="1588" w:left="2098" w:header="851" w:footer="992" w:gutter="0"/>
      <w:pgNumType w:fmt="numberInDash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2593F"/>
    <w:rsid w:val="3482593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ind w:firstLine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us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2018-09-13T01:42:00Z</dcterms:created>
  <dc:creator>lenovouser</dc:creator>
  <cp:lastModifiedBy>lenovouser</cp:lastModifiedBy>
  <dcterms:modified xsi:type="dcterms:W3CDTF">2018-09-13T01:44:15Z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