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00" w:type="dxa"/>
        <w:jc w:val="center"/>
        <w:tblCellSpacing w:w="0"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
      <w:tblGrid>
        <w:gridCol w:w="1200"/>
        <w:gridCol w:w="750"/>
        <w:gridCol w:w="1500"/>
        <w:gridCol w:w="845"/>
        <w:gridCol w:w="3955"/>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shd w:val="clear"/>
            <w:vAlign w:val="center"/>
          </w:tcPr>
          <w:p>
            <w:pPr>
              <w:keepNext w:val="0"/>
              <w:keepLines w:val="0"/>
              <w:widowControl/>
              <w:suppressLineNumbers w:val="0"/>
              <w:jc w:val="center"/>
            </w:pPr>
            <w:r>
              <w:rPr>
                <w:rStyle w:val="3"/>
                <w:rFonts w:ascii="宋体" w:hAnsi="宋体" w:eastAsia="宋体" w:cs="宋体"/>
                <w:kern w:val="0"/>
                <w:sz w:val="24"/>
                <w:szCs w:val="24"/>
                <w:bdr w:val="none" w:color="auto" w:sz="0" w:space="0"/>
                <w:lang w:val="en-US" w:eastAsia="zh-CN" w:bidi="ar"/>
              </w:rPr>
              <w:t>部门</w:t>
            </w:r>
          </w:p>
        </w:tc>
        <w:tc>
          <w:tcPr>
            <w:tcW w:w="750" w:type="dxa"/>
            <w:shd w:val="clear"/>
            <w:vAlign w:val="center"/>
          </w:tcPr>
          <w:p>
            <w:pPr>
              <w:keepNext w:val="0"/>
              <w:keepLines w:val="0"/>
              <w:widowControl/>
              <w:suppressLineNumbers w:val="0"/>
              <w:jc w:val="center"/>
            </w:pPr>
            <w:r>
              <w:rPr>
                <w:rStyle w:val="3"/>
                <w:rFonts w:ascii="宋体" w:hAnsi="宋体" w:eastAsia="宋体" w:cs="宋体"/>
                <w:kern w:val="0"/>
                <w:sz w:val="24"/>
                <w:szCs w:val="24"/>
                <w:bdr w:val="none" w:color="auto" w:sz="0" w:space="0"/>
                <w:lang w:val="en-US" w:eastAsia="zh-CN" w:bidi="ar"/>
              </w:rPr>
              <w:t>岗位</w:t>
            </w:r>
          </w:p>
        </w:tc>
        <w:tc>
          <w:tcPr>
            <w:tcW w:w="1500" w:type="dxa"/>
            <w:shd w:val="clear"/>
            <w:vAlign w:val="center"/>
          </w:tcPr>
          <w:p>
            <w:pPr>
              <w:keepNext w:val="0"/>
              <w:keepLines w:val="0"/>
              <w:widowControl/>
              <w:suppressLineNumbers w:val="0"/>
              <w:jc w:val="center"/>
            </w:pPr>
            <w:r>
              <w:rPr>
                <w:rStyle w:val="3"/>
                <w:rFonts w:ascii="宋体" w:hAnsi="宋体" w:eastAsia="宋体" w:cs="宋体"/>
                <w:kern w:val="0"/>
                <w:sz w:val="24"/>
                <w:szCs w:val="24"/>
                <w:bdr w:val="none" w:color="auto" w:sz="0" w:space="0"/>
                <w:lang w:val="en-US" w:eastAsia="zh-CN" w:bidi="ar"/>
              </w:rPr>
              <w:t>专业</w:t>
            </w:r>
          </w:p>
        </w:tc>
        <w:tc>
          <w:tcPr>
            <w:tcW w:w="845" w:type="dxa"/>
            <w:shd w:val="clear"/>
            <w:vAlign w:val="center"/>
          </w:tcPr>
          <w:p>
            <w:pPr>
              <w:keepNext w:val="0"/>
              <w:keepLines w:val="0"/>
              <w:widowControl/>
              <w:suppressLineNumbers w:val="0"/>
              <w:jc w:val="center"/>
            </w:pPr>
            <w:r>
              <w:rPr>
                <w:rStyle w:val="3"/>
                <w:rFonts w:ascii="宋体" w:hAnsi="宋体" w:eastAsia="宋体" w:cs="宋体"/>
                <w:kern w:val="0"/>
                <w:sz w:val="24"/>
                <w:szCs w:val="24"/>
                <w:bdr w:val="none" w:color="auto" w:sz="0" w:space="0"/>
                <w:lang w:val="en-US" w:eastAsia="zh-CN" w:bidi="ar"/>
              </w:rPr>
              <w:t>人数</w:t>
            </w:r>
          </w:p>
        </w:tc>
        <w:tc>
          <w:tcPr>
            <w:tcW w:w="3955" w:type="dxa"/>
            <w:shd w:val="clear"/>
            <w:vAlign w:val="center"/>
          </w:tcPr>
          <w:p>
            <w:pPr>
              <w:keepNext w:val="0"/>
              <w:keepLines w:val="0"/>
              <w:widowControl/>
              <w:suppressLineNumbers w:val="0"/>
              <w:jc w:val="center"/>
            </w:pPr>
            <w:r>
              <w:rPr>
                <w:rStyle w:val="3"/>
                <w:rFonts w:ascii="宋体" w:hAnsi="宋体" w:eastAsia="宋体" w:cs="宋体"/>
                <w:kern w:val="0"/>
                <w:sz w:val="24"/>
                <w:szCs w:val="24"/>
                <w:bdr w:val="none" w:color="auto" w:sz="0" w:space="0"/>
                <w:lang w:val="en-US" w:eastAsia="zh-CN" w:bidi="ar"/>
              </w:rPr>
              <w:t>主讲课程</w:t>
            </w:r>
          </w:p>
        </w:tc>
        <w:tc>
          <w:tcPr>
            <w:tcW w:w="5550" w:type="dxa"/>
            <w:shd w:val="clear"/>
            <w:vAlign w:val="center"/>
          </w:tcPr>
          <w:p>
            <w:pPr>
              <w:keepNext w:val="0"/>
              <w:keepLines w:val="0"/>
              <w:widowControl/>
              <w:suppressLineNumbers w:val="0"/>
              <w:jc w:val="center"/>
            </w:pPr>
            <w:r>
              <w:rPr>
                <w:rStyle w:val="3"/>
                <w:rFonts w:ascii="宋体" w:hAnsi="宋体" w:eastAsia="宋体" w:cs="宋体"/>
                <w:kern w:val="0"/>
                <w:sz w:val="24"/>
                <w:szCs w:val="24"/>
                <w:bdr w:val="none" w:color="auto" w:sz="0" w:space="0"/>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信息工程学院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软件技术</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w:t>
            </w:r>
            <w:bookmarkStart w:id="0" w:name="_GoBack"/>
            <w:bookmarkEnd w:id="0"/>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JSP程序设计、软件框架技术、软件测试、移动互联网应用开发等课程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硕士及以上学历，有中级及以上职称者优先录用，本科学历需副高及以上。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电子商务</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电子商务运营、推广，自媒体，移动电子商务，网页设计</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硕士及以上学历，有中级及以上职称者优先录用，本科学历需副高及以上职称。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计算机应用技术(数字媒体设计或虚拟仿真专业优先考虑)</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网站设计、界面设计、前端开发、三维动画设计、虚拟仿真设计</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硕士及以上学历，有中级及以上职称者优先录用，本科学历需副高及以上职称。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计算机网络技术</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信息安全技术、云计算技术、无线网络技术</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硕士及以上学历，有中级及以上职称者优先录用，本科学历需副高及以上职称。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机电工程学院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汽车检测与维修技术</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汽车性能与故障诊断、汽车电控技术 </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硕士及以上学历，有中级及以上职称者优先录用，本科学历需副高及以上。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建筑工程学院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测绘地理信息技术</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地理信息应用技术、计算机测绘程序设计、数据库</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硕士研究生及以上学历，有5年及以上企业工作经验者可放宽至本科学历，本科学历者需具有副高及以上职称。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建筑装饰工程技术</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建筑装饰工程技术、建筑装饰施工组织与管理、建筑装饰工程招投标与合同管理</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硕士研究生及以上学历，有5年及以上企业工作经验者可放宽至本科学历，本科学历者需具有副高及以上职称。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人文学院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学前教育</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学前教育原理等相关课程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学前教育（舞蹈编创）</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幼儿舞蹈编创等</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全日制硕士研究生及以上学历。编舞获得过市级以上奖项者优先考虑。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学前教育（应用钢琴）</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即兴伴奏、弹唱、作曲等</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网络新闻与传播</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网络文案与广告创意、新闻策划与采写、信息可视化制作、媒介经营管理、新媒体作品评析、网络传播实务。</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硕士及以上学历（新闻学、传播学、广告学相关专业），有中级及以上职称者优先考虑。本科学历者需具有副高及以上职称。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传播与策划</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Flash动画设计与制作、网页设计与网站建设、交互设计、摄影基础、平面设计基础、数字摄像与后期制作。</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硕士及以上学历（数字媒体相关专业），有中级及以上职称者优先考虑。本科学历者需具有副高及以上职称。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思想政治教育</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马克思主义基本原理概论</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硕士及以上学历，表达能力、科研能力强者优先考虑。本科学历者需具有副高及以上职称。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体育</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拉丁舞、摩登舞</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全日制硕士研究生及以上学历，获得过省级以上比赛等级奖者优先考虑。本科学历者需具有副高及以上职称。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数学</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工程数学、经济应用数学</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博士或高级职称优先考虑。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外语外贸学院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会展策划与管理</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会展策划与管理相关课程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应用韩语</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韩语类课程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大学英语</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大学英语相关课程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硕士研究生及以上学历，有商务英语专业、会展管理、国贸专业背景优先考虑。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国贸与报关</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国际贸易、国际商务等相关专业</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硕士研究生及以上学历，具有企业经验，能教跨境电商、报关报检货代物流等方面课程优先考虑。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经济与管理学院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会计</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会计基础、会计电算化、财经法规和会计职业道德、财务会计、会计软件应用、财务管理、成本核算实务、税务会计、EXCEL在会计中的应用、审计实务、税务实训、注册会计师审计实训、财务报表分析、管理会计等</w:t>
            </w:r>
          </w:p>
        </w:tc>
        <w:tc>
          <w:tcPr>
            <w:tcW w:w="5550" w:type="dxa"/>
            <w:shd w:val="cle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财务管理</w:t>
            </w:r>
          </w:p>
        </w:tc>
        <w:tc>
          <w:tcPr>
            <w:tcW w:w="84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财务管理、财务会计、会计电算化、税务会计、成本管理会计、财务报表分析、创新财务实战、互联网金融、证券投资、审计实务、高级财务会计、企业内部控制、公司战略与风险管理、资本运营理论与实务、工程财务与会计等</w:t>
            </w:r>
          </w:p>
        </w:tc>
        <w:tc>
          <w:tcPr>
            <w:tcW w:w="5550" w:type="dxa"/>
            <w:shd w:val="clear"/>
            <w:tcMar>
              <w:top w:w="75" w:type="dxa"/>
              <w:left w:w="150" w:type="dxa"/>
              <w:bottom w:w="75" w:type="dxa"/>
              <w:right w:w="150"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金融</w:t>
            </w:r>
          </w:p>
        </w:tc>
        <w:tc>
          <w:tcPr>
            <w:tcW w:w="84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金融学基础、商业银行综合柜台业务、商业银行经营与管理、个人理财、个人信贷、公司信贷、互联网金融实务、保险理论与实务、金融风险管理、金融营销等</w:t>
            </w:r>
          </w:p>
        </w:tc>
        <w:tc>
          <w:tcPr>
            <w:tcW w:w="5550" w:type="dxa"/>
            <w:shd w:val="clear"/>
            <w:tcMar>
              <w:top w:w="75" w:type="dxa"/>
              <w:left w:w="150" w:type="dxa"/>
              <w:bottom w:w="75" w:type="dxa"/>
              <w:right w:w="150"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市场营销</w:t>
            </w:r>
          </w:p>
        </w:tc>
        <w:tc>
          <w:tcPr>
            <w:tcW w:w="84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市场营销实务、市场调查与预测、网络营销、推销技巧、客户关系管理、商务谈判与沟通、营销策划、房地产销售、销售管理等</w:t>
            </w:r>
          </w:p>
        </w:tc>
        <w:tc>
          <w:tcPr>
            <w:tcW w:w="5550" w:type="dxa"/>
            <w:shd w:val="clear"/>
            <w:tcMar>
              <w:top w:w="75" w:type="dxa"/>
              <w:left w:w="150" w:type="dxa"/>
              <w:bottom w:w="75" w:type="dxa"/>
              <w:right w:w="150"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工商企业管理</w:t>
            </w:r>
          </w:p>
        </w:tc>
        <w:tc>
          <w:tcPr>
            <w:tcW w:w="84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管理学基础、人力资源管理、个人与团队管理、生产与运作管理、ERP原理与应用、企业经营与运营管理、电子商务应用、市场调查与预测等</w:t>
            </w:r>
          </w:p>
        </w:tc>
        <w:tc>
          <w:tcPr>
            <w:tcW w:w="5550" w:type="dxa"/>
            <w:shd w:val="clear"/>
            <w:tcMar>
              <w:top w:w="75" w:type="dxa"/>
              <w:left w:w="150" w:type="dxa"/>
              <w:bottom w:w="75" w:type="dxa"/>
              <w:right w:w="150"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人力资源管理</w:t>
            </w:r>
          </w:p>
        </w:tc>
        <w:tc>
          <w:tcPr>
            <w:tcW w:w="84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管理学基础、人力资源管理、人力资源规划实务、企业经营管理沙盘实训、绩效与薪酬管理实务、招聘与配置实务、培训与开发实务等</w:t>
            </w:r>
          </w:p>
        </w:tc>
        <w:tc>
          <w:tcPr>
            <w:tcW w:w="5550" w:type="dxa"/>
            <w:shd w:val="clear"/>
            <w:tcMar>
              <w:top w:w="75" w:type="dxa"/>
              <w:left w:w="150" w:type="dxa"/>
              <w:bottom w:w="75" w:type="dxa"/>
              <w:right w:w="150"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物流管理</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物流管理基础、运输组织与管理、物流采购管理、仓储与配送管理、物流信息管理、物流成本管理、物流法律法规、供应链管理、物流营销、物流企业管理等</w:t>
            </w:r>
          </w:p>
        </w:tc>
        <w:tc>
          <w:tcPr>
            <w:tcW w:w="5550" w:type="dxa"/>
            <w:shd w:val="cle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硕士研究生及以上学历，中级及以上职称，有高校工作经验者优先。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艺术与设计学院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动漫制作技术</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动漫制作相关课程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服装与服饰设计</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服装与服饰设计相关课程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产品艺术设计</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产品艺术设计相关课程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全日制硕士研究生及以上学历，中级及以上职称，首饰设计专业优先考虑。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创业教育学院</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教师</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经管类或理工科专业</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创新、创业课程</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硕士研究生及以上学历，中级以上职称（具有3年以上高校创新创业相关课程教学经验或企业中（高）层管理经验，指导学生团队获得过省级创新创业大赛二等奖以上或担任过地市级以上创新创业大赛的评委等人员可适当放宽学历至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2.具备较丰富的教学及指导学生创新创业项目经验；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3.熟练使用各种办公软件，文字功底扎实；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4.能吃苦耐劳，具有较强的执行力和沟通能力；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5.具有副高以上职称或博士学位优先考虑。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创业管理专员</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专业不限</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1.硕士研究生学历（综合素质优秀的本科生可放宽条件）；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2.具备教学、指导学生创业项目或高校工作经验；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3.熟练使用各种办公及图片视频编辑软件，文字功底扎实；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4.能吃苦耐劳，具有较强的执行力和沟通能力。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督察办公室</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教学督导</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建筑、机电、信息类相关专业</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本科以上学历，副高及以上，责任心强、作风正派，有高职院校教学管理或教学督导经验。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restart"/>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科技处</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四技服务管理干事</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理工类优先考虑</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本科及以上学历，负责纵向项目管理与知识产权管理，具有良好计算机应用能力和行政事务管理能力，品行端正，有良好的沟通协调能力和团队合作精神，有良好的知识产权事务管理能力。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vMerge w:val="continue"/>
            <w:shd w:val="clear"/>
            <w:vAlign w:val="center"/>
          </w:tcPr>
          <w:p>
            <w:pPr>
              <w:jc w:val="center"/>
              <w:rPr>
                <w:rFonts w:hint="eastAsia" w:ascii="宋体"/>
                <w:sz w:val="24"/>
                <w:szCs w:val="24"/>
              </w:rPr>
            </w:pP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校企合作干事</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理工类优先考虑</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本科及以上学历，负责校企合作项目管理，具有良好计算机应用能力和行政事务管理能力，品行端正，有良好的沟通协调能力和团队合作精神。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图书馆</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参考咨询</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图书馆学或相关专业</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图书馆参考咨询工作相关内容，试讲约20分钟</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1.本科及以上学历；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2.熟悉多种数据库的使用和操作方法，开展定题跟踪、文献信息的检索和传递等服务；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3.具有较强的组织、沟通和协调能力，开展读者培训、数字资源推广等活动；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4.具有团结协作精神，服从安排，协助其它部门完成工作；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5.有相关工作经历或经验者优先考虑。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45" w:type="dxa"/>
            <w:left w:w="45" w:type="dxa"/>
            <w:bottom w:w="45" w:type="dxa"/>
            <w:right w:w="45" w:type="dxa"/>
          </w:tblCellMar>
        </w:tblPrEx>
        <w:trPr>
          <w:tblCellSpacing w:w="0" w:type="dxa"/>
          <w:jc w:val="center"/>
        </w:trPr>
        <w:tc>
          <w:tcPr>
            <w:tcW w:w="12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合计</w:t>
            </w:r>
          </w:p>
        </w:tc>
        <w:tc>
          <w:tcPr>
            <w:tcW w:w="75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150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84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58</w:t>
            </w:r>
          </w:p>
        </w:tc>
        <w:tc>
          <w:tcPr>
            <w:tcW w:w="395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c>
          <w:tcPr>
            <w:tcW w:w="5550"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85AE9"/>
    <w:rsid w:val="26D85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666666"/>
      <w:sz w:val="18"/>
      <w:szCs w:val="18"/>
      <w:u w:val="none"/>
    </w:rPr>
  </w:style>
  <w:style w:type="character" w:styleId="5">
    <w:name w:val="Hyperlink"/>
    <w:basedOn w:val="2"/>
    <w:uiPriority w:val="0"/>
    <w:rPr>
      <w:color w:val="66666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2018-09-30T03:56:00Z</dcterms:created>
  <dc:creator>天空</dc:creator>
  <cp:lastModifiedBy>天空</cp:lastModifiedBy>
  <dcterms:modified xsi:type="dcterms:W3CDTF">2018-09-30T03:57:47Z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