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5FAFF"/>
          <w:lang w:val="en-US" w:eastAsia="zh-CN" w:bidi="ar"/>
        </w:rPr>
        <w:t>附件一：</w:t>
      </w:r>
    </w:p>
    <w:tbl>
      <w:tblPr>
        <w:tblStyle w:val="5"/>
        <w:tblW w:w="80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75"/>
        <w:gridCol w:w="298"/>
        <w:gridCol w:w="2101"/>
        <w:gridCol w:w="1309"/>
        <w:gridCol w:w="3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0"/>
                <w:szCs w:val="20"/>
              </w:rPr>
              <w:t>岗位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0"/>
                <w:szCs w:val="20"/>
              </w:rPr>
              <w:t>人数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0"/>
                <w:szCs w:val="20"/>
              </w:rPr>
              <w:t>学历要求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0"/>
                <w:szCs w:val="20"/>
              </w:rPr>
              <w:t>专业要求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0"/>
                <w:szCs w:val="20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超声医师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普通医学院校毕业，大专及以上学历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临床医学或医学影像学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65周岁以下，具备执业医师资格，两年以上超声工作经验（会心脏彩超），女性优先。熟悉电脑录入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内科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普通医学院校毕业，大专及以上学历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临床医学或中医类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45周岁以下，具备执业医师资格，内科主治医师以上职称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普通医学院校毕业，大专及以上学历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临床医学或中医类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40周岁以下，具备执业医师资格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眼科（兼耳鼻喉科）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普通医学院校毕业，本科及以上学历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50周岁以下，具备执业医师资格，眼科主治医师以上职称。熟悉电脑录入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妇科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普通医学院校毕业，本科及以上学历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临床医学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50周岁以下，具备执业医师资格，妇科主治医师以上职称。熟悉电脑录入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护理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全日制大专及以上学历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护理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35周岁及以下，身高在160以上，具备护士执业证书，有体检科工作经验优先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5FA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90A19"/>
    <w:rsid w:val="01C90A19"/>
    <w:rsid w:val="4EA05B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2018-10-24T06:26:00Z</dcterms:created>
  <dc:creator>武大娟</dc:creator>
  <cp:lastModifiedBy>xuran</cp:lastModifiedBy>
  <dcterms:modified xsi:type="dcterms:W3CDTF">2018-10-25T05:27:24Z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