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3"/>
          <w:szCs w:val="33"/>
        </w:rPr>
      </w:pPr>
      <w:r>
        <w:rPr>
          <w:rFonts w:hint="eastAsia" w:ascii="黑体" w:hAnsi="黑体" w:eastAsia="黑体" w:cs="黑体"/>
          <w:sz w:val="33"/>
          <w:szCs w:val="33"/>
        </w:rPr>
        <w:t>附件2</w:t>
      </w:r>
    </w:p>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邛崃市“周末磁场”柔性引才引智需求岗位清单（2018年第</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批）</w:t>
      </w:r>
    </w:p>
    <w:bookmarkEnd w:id="0"/>
    <w:tbl>
      <w:tblPr>
        <w:tblStyle w:val="5"/>
        <w:tblpPr w:leftFromText="180" w:rightFromText="180" w:vertAnchor="text" w:horzAnchor="page" w:tblpXSpec="center" w:tblpY="837"/>
        <w:tblOverlap w:val="never"/>
        <w:tblW w:w="15051" w:type="dxa"/>
        <w:tblInd w:w="-1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9"/>
        <w:gridCol w:w="2589"/>
        <w:gridCol w:w="1245"/>
        <w:gridCol w:w="1048"/>
        <w:gridCol w:w="1622"/>
        <w:gridCol w:w="2820"/>
        <w:gridCol w:w="323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58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lang w:bidi="ar"/>
              </w:rPr>
              <w:t>序号</w:t>
            </w:r>
          </w:p>
        </w:tc>
        <w:tc>
          <w:tcPr>
            <w:tcW w:w="258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outlineLvl w:val="9"/>
              <w:rPr>
                <w:rFonts w:hint="eastAsia" w:ascii="黑体" w:hAnsi="黑体" w:eastAsia="黑体" w:cs="黑体"/>
                <w:sz w:val="24"/>
                <w:szCs w:val="24"/>
                <w:lang w:eastAsia="zh-CN"/>
              </w:rPr>
            </w:pPr>
            <w:r>
              <w:rPr>
                <w:rFonts w:hint="eastAsia" w:ascii="黑体" w:hAnsi="黑体" w:eastAsia="黑体" w:cs="黑体"/>
                <w:kern w:val="0"/>
                <w:sz w:val="24"/>
                <w:szCs w:val="24"/>
                <w:lang w:eastAsia="zh-CN" w:bidi="ar"/>
              </w:rPr>
              <w:t>需求单位</w:t>
            </w:r>
          </w:p>
        </w:tc>
        <w:tc>
          <w:tcPr>
            <w:tcW w:w="124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lang w:bidi="ar"/>
              </w:rPr>
              <w:t>岗位名称</w:t>
            </w:r>
          </w:p>
        </w:tc>
        <w:tc>
          <w:tcPr>
            <w:tcW w:w="1048" w:type="dxa"/>
            <w:tcMar>
              <w:top w:w="15" w:type="dxa"/>
              <w:left w:w="15" w:type="dxa"/>
              <w:right w:w="15" w:type="dxa"/>
            </w:tcMar>
            <w:vAlign w:val="center"/>
          </w:tcPr>
          <w:p>
            <w:pPr>
              <w:keepNext w:val="0"/>
              <w:keepLines w:val="0"/>
              <w:pageBreakBefore w:val="0"/>
              <w:widowControl/>
              <w:tabs>
                <w:tab w:val="left" w:pos="312"/>
              </w:tabs>
              <w:kinsoku/>
              <w:wordWrap/>
              <w:overflowPunct/>
              <w:topLinePunct w:val="0"/>
              <w:autoSpaceDE/>
              <w:autoSpaceDN/>
              <w:bidi w:val="0"/>
              <w:adjustRightInd/>
              <w:snapToGrid/>
              <w:spacing w:line="580" w:lineRule="exact"/>
              <w:jc w:val="center"/>
              <w:textAlignment w:val="center"/>
              <w:outlineLvl w:val="9"/>
              <w:rPr>
                <w:rFonts w:hint="eastAsia" w:ascii="黑体" w:hAnsi="黑体" w:eastAsia="黑体" w:cs="黑体"/>
                <w:kern w:val="0"/>
                <w:sz w:val="24"/>
                <w:szCs w:val="24"/>
                <w:lang w:eastAsia="zh-CN" w:bidi="ar"/>
              </w:rPr>
            </w:pPr>
            <w:r>
              <w:rPr>
                <w:rFonts w:hint="eastAsia" w:ascii="黑体" w:hAnsi="黑体" w:eastAsia="黑体" w:cs="黑体"/>
                <w:kern w:val="0"/>
                <w:sz w:val="24"/>
                <w:szCs w:val="24"/>
                <w:lang w:eastAsia="zh-CN" w:bidi="ar"/>
              </w:rPr>
              <w:t>需求人数</w:t>
            </w:r>
          </w:p>
        </w:tc>
        <w:tc>
          <w:tcPr>
            <w:tcW w:w="1622"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lang w:bidi="ar"/>
              </w:rPr>
              <w:t>需求方式</w:t>
            </w:r>
          </w:p>
        </w:tc>
        <w:tc>
          <w:tcPr>
            <w:tcW w:w="282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outlineLvl w:val="9"/>
              <w:rPr>
                <w:rFonts w:hint="eastAsia" w:ascii="黑体" w:hAnsi="黑体" w:eastAsia="黑体" w:cs="黑体"/>
                <w:sz w:val="24"/>
                <w:szCs w:val="24"/>
              </w:rPr>
            </w:pPr>
            <w:r>
              <w:rPr>
                <w:rFonts w:hint="eastAsia" w:ascii="黑体" w:hAnsi="黑体" w:eastAsia="黑体" w:cs="黑体"/>
                <w:kern w:val="0"/>
                <w:sz w:val="24"/>
                <w:szCs w:val="24"/>
                <w:lang w:bidi="ar"/>
              </w:rPr>
              <w:t>资历、能力、业绩要求</w:t>
            </w:r>
          </w:p>
        </w:tc>
        <w:tc>
          <w:tcPr>
            <w:tcW w:w="3238"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outlineLvl w:val="9"/>
              <w:rPr>
                <w:rFonts w:hint="eastAsia" w:ascii="黑体" w:hAnsi="黑体" w:eastAsia="黑体" w:cs="黑体"/>
                <w:sz w:val="24"/>
                <w:szCs w:val="24"/>
              </w:rPr>
            </w:pPr>
            <w:r>
              <w:rPr>
                <w:rFonts w:hint="eastAsia" w:ascii="黑体" w:hAnsi="黑体" w:eastAsia="黑体" w:cs="黑体"/>
                <w:sz w:val="24"/>
                <w:szCs w:val="24"/>
              </w:rPr>
              <w:t>引才目标区域（包括地区、院校、企业）</w:t>
            </w:r>
          </w:p>
        </w:tc>
        <w:tc>
          <w:tcPr>
            <w:tcW w:w="1900"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outlineLvl w:val="9"/>
              <w:rPr>
                <w:rFonts w:hint="eastAsia" w:ascii="黑体" w:hAnsi="黑体" w:eastAsia="黑体" w:cs="黑体"/>
                <w:sz w:val="24"/>
                <w:szCs w:val="24"/>
              </w:rPr>
            </w:pPr>
            <w:r>
              <w:rPr>
                <w:rFonts w:hint="eastAsia" w:ascii="黑体" w:hAnsi="黑体" w:eastAsia="黑体" w:cs="黑体"/>
                <w:sz w:val="24"/>
                <w:szCs w:val="24"/>
              </w:rPr>
              <w:t>需求单位联系人及联系方式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0"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成都市新兴粮油有限公司</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顾问指导</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技术指导和研发</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博士生导师，从事油脂及植物蛋白工程</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高等院校、科研院所相关领域博士生导师</w:t>
            </w:r>
            <w:r>
              <w:rPr>
                <w:rFonts w:hint="eastAsia" w:ascii="宋体" w:hAnsi="宋体" w:cs="方正仿宋简体"/>
                <w:kern w:val="0"/>
                <w:szCs w:val="21"/>
                <w:lang w:eastAsia="zh-CN" w:bidi="ar"/>
              </w:rPr>
              <w:t>。</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尹红梅</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13980787163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6"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2　</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成都市金川茶业有限公司</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技术指导</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3</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技术指导和研发</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教授，从事茶业等领域的相关研究</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szCs w:val="21"/>
              </w:rPr>
              <w:t>高等院校、科研院所相关领域专家教授</w:t>
            </w:r>
            <w:r>
              <w:rPr>
                <w:rFonts w:hint="eastAsia" w:ascii="宋体" w:hAnsi="宋体" w:cs="方正仿宋简体"/>
                <w:szCs w:val="21"/>
                <w:lang w:eastAsia="zh-CN"/>
              </w:rPr>
              <w:t>。</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尹红梅</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13980787163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3</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成都市碧涛茶业有限公司</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技术指导</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4</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技术指导和研发</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教授，从事茶业等领域的相关研究</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szCs w:val="21"/>
              </w:rPr>
              <w:t>高等院校、科研院所相关领域专家教授</w:t>
            </w:r>
            <w:r>
              <w:rPr>
                <w:rFonts w:hint="eastAsia" w:ascii="宋体" w:hAnsi="宋体" w:cs="方正仿宋简体"/>
                <w:szCs w:val="21"/>
                <w:lang w:eastAsia="zh-CN"/>
              </w:rPr>
              <w:t>。</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尹红梅</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13980787163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4</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成都</w:t>
            </w:r>
            <w:r>
              <w:rPr>
                <w:rFonts w:hint="eastAsia" w:ascii="宋体" w:hAnsi="宋体" w:cs="方正仿宋简体"/>
                <w:kern w:val="0"/>
                <w:szCs w:val="21"/>
                <w:lang w:eastAsia="zh-CN" w:bidi="ar"/>
              </w:rPr>
              <w:t>旺</w:t>
            </w:r>
            <w:r>
              <w:rPr>
                <w:rFonts w:hint="eastAsia" w:ascii="宋体" w:hAnsi="宋体" w:cs="方正仿宋简体"/>
                <w:kern w:val="0"/>
                <w:szCs w:val="21"/>
                <w:lang w:bidi="ar"/>
              </w:rPr>
              <w:t>江农牧科技有限公司</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技术指导</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5</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技术托管</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要求动物医学硕士及以上，从事养殖行业、兽医、家畜健康与生产</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szCs w:val="21"/>
              </w:rPr>
              <w:t>养殖领域专家，在国内外具有一定影响力或在省内具有较高影响力的高端人才</w:t>
            </w:r>
            <w:r>
              <w:rPr>
                <w:rFonts w:hint="eastAsia" w:ascii="宋体" w:hAnsi="宋体" w:cs="方正仿宋简体"/>
                <w:szCs w:val="21"/>
                <w:lang w:eastAsia="zh-CN"/>
              </w:rPr>
              <w:t>。</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尹红梅</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13980787163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0"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5</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四川省文君茶业有限公司</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顾问指导</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3</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研发、品种选育、加工、审评</w:t>
            </w:r>
          </w:p>
        </w:tc>
        <w:tc>
          <w:tcPr>
            <w:tcW w:w="282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博士生导师</w:t>
            </w:r>
          </w:p>
        </w:tc>
        <w:tc>
          <w:tcPr>
            <w:tcW w:w="3238"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高等院校、科研院所相关领域博士生导师</w:t>
            </w:r>
            <w:r>
              <w:rPr>
                <w:rFonts w:hint="eastAsia" w:ascii="宋体" w:hAnsi="宋体" w:cs="方正仿宋简体"/>
                <w:kern w:val="0"/>
                <w:szCs w:val="21"/>
                <w:lang w:eastAsia="zh-CN" w:bidi="ar"/>
              </w:rPr>
              <w:t>。</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尹红梅</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13980787163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3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6</w:t>
            </w:r>
          </w:p>
        </w:tc>
        <w:tc>
          <w:tcPr>
            <w:tcW w:w="2589"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邛崃市中伦农业发展有限公司</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顾问指导</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4</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技术指导和研发</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博士、研究员、高级工程师，从事稻虾综合种养、小龙虾养殖、水稻种植领域研究工作</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高等院校、科研院所相关高技能人才</w:t>
            </w:r>
            <w:r>
              <w:rPr>
                <w:rFonts w:hint="eastAsia" w:ascii="宋体" w:hAnsi="宋体" w:cs="方正仿宋简体"/>
                <w:kern w:val="0"/>
                <w:szCs w:val="21"/>
                <w:lang w:eastAsia="zh-CN" w:bidi="ar"/>
              </w:rPr>
              <w:t>。</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尹红梅</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13980787163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7</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成都崃岭生态茶业有限公司</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顾问指导</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顾问聘请指导</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kern w:val="0"/>
                <w:szCs w:val="21"/>
                <w:lang w:eastAsia="zh-CN" w:bidi="ar"/>
              </w:rPr>
            </w:pPr>
            <w:r>
              <w:rPr>
                <w:rFonts w:hint="eastAsia" w:ascii="宋体" w:hAnsi="宋体" w:cs="方正仿宋简体"/>
                <w:kern w:val="0"/>
                <w:szCs w:val="21"/>
                <w:lang w:bidi="ar"/>
              </w:rPr>
              <w:t>博士生和博士生导师，从事茶业等领域的相关研究</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博士生和博士生导师</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尹红梅</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13980787163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8</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四川易林农业发展有限公司</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顾问指导</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顾问聘请指导</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kern w:val="0"/>
                <w:szCs w:val="21"/>
                <w:lang w:eastAsia="zh-CN" w:bidi="ar"/>
              </w:rPr>
            </w:pPr>
            <w:r>
              <w:rPr>
                <w:rFonts w:hint="eastAsia" w:ascii="宋体" w:hAnsi="宋体" w:cs="方正仿宋简体"/>
                <w:kern w:val="0"/>
                <w:szCs w:val="21"/>
                <w:lang w:bidi="ar"/>
              </w:rPr>
              <w:t>博士生或博士生导师，有丰富的田园综合体，农旅融合，一三产业互动项目等相关领域的研究和实践</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博士生和博士生导师</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尹红梅</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13980787163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10"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9</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邛崃市医疗中心医院</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儿科（新生儿）医生</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2</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专家门诊、技术指导、学术讲座、一对一帮扶</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具有10年以上国家三级甲等综合医院相关专业工作经历的副主任医师或主任医师职称；副教授或教授；省级及以上医学重点学科（专科、实验室）带头人，省级及以上名医</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国家三级甲等医院</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陈忠</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18030820599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2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10</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邛崃市医疗中心医院</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妇产科医生</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专家门诊、技术指导、学术讲座、一对一帮扶</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具有10年以上国家三级甲等综合医院相关专业工作经历的副主任医师或主任医师职称；副教授或教授；省级及以上医学重点学科（专科、实验室）带头人，省级及以上名医</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国家三级甲等医院</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陈忠</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18030820599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2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11</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邛崃市医疗中心医院</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眼科医生</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2</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专家门诊、技术指导、学术讲座、一对一帮扶</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具有10年以上国家三级甲等综合医院相关专业工作经历的副主任医师或主任医师职称；副教授或教授；省级及以上医学重点学科（专科、实验室）带头人，省级及以上名医</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国家三级甲等医院</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陈忠</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18030820599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6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12</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szCs w:val="21"/>
              </w:rPr>
              <w:t>邛崃市医疗中心医院</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耳鼻喉头颈外科医生</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专家门诊、技术指导、学术讲座、一对一帮扶</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kern w:val="0"/>
                <w:szCs w:val="21"/>
                <w:lang w:eastAsia="zh-CN" w:bidi="ar"/>
              </w:rPr>
            </w:pPr>
            <w:r>
              <w:rPr>
                <w:rFonts w:hint="eastAsia" w:ascii="宋体" w:hAnsi="宋体" w:cs="方正仿宋简体"/>
                <w:kern w:val="0"/>
                <w:szCs w:val="21"/>
                <w:lang w:bidi="ar"/>
              </w:rPr>
              <w:t>具有10年以上国家三级甲等综合医院相关专业工作经历的副主任医师或主任医师职称；副教授或教授；省级及以上医学重点学科（专科、实验室）带头人，省级及以上名医</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国家三级甲等医院</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陈忠</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18030820599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30"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13</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szCs w:val="21"/>
              </w:rPr>
              <w:t>邛崃市医疗中心医院</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消化内科</w:t>
            </w:r>
          </w:p>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医生</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专家门诊、技术指导、学术讲座、一对一帮扶</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具有10年以上国家三级综合医院工作经历的副主任医师或主任医师职称、副教授或教授，省级及以上医学重点学科（专科、实验室）带头人，省级及以上名医</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国家三级医院</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陈忠</w:t>
            </w:r>
          </w:p>
          <w:p>
            <w:pPr>
              <w:widowControl/>
              <w:spacing w:line="320" w:lineRule="exact"/>
              <w:jc w:val="center"/>
              <w:textAlignment w:val="center"/>
              <w:rPr>
                <w:rFonts w:hint="eastAsia" w:ascii="宋体" w:hAnsi="宋体" w:eastAsia="宋体" w:cs="方正仿宋简体"/>
                <w:kern w:val="0"/>
                <w:szCs w:val="21"/>
                <w:lang w:eastAsia="zh-CN" w:bidi="ar"/>
              </w:rPr>
            </w:pPr>
            <w:r>
              <w:rPr>
                <w:rFonts w:hint="eastAsia" w:ascii="宋体" w:hAnsi="宋体" w:cs="方正仿宋简体"/>
                <w:kern w:val="0"/>
                <w:szCs w:val="21"/>
                <w:lang w:bidi="ar"/>
              </w:rPr>
              <w:t>18030820599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4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14</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szCs w:val="21"/>
              </w:rPr>
              <w:t>邛崃市医疗中心医院</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呼吸内科</w:t>
            </w:r>
          </w:p>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医生</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专家门诊、技术指导、学术讲座、一对一帮扶</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具有10年以上国家三级综合医院工作经历的副主任医师或主任医师职称、副教授或教授，省级及以上医学重点学科（专科、实验室）带头人，省级及以上名医</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国家三级医院</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陈忠</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18030820599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90"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szCs w:val="21"/>
              </w:rPr>
              <w:t>15</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szCs w:val="21"/>
              </w:rPr>
              <w:t>邛崃市医疗中心医院</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肿瘤内科</w:t>
            </w:r>
          </w:p>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医生</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专家门诊、技术指导、学术讲座、一对一帮扶</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具有10年以上国家三级综合医院工作经历的副主任医师或主任医师职称、副教授或教授，省级及以上医学重点学科（专科、实验室）带头人，省级及以上名医</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国家三级医院</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陈忠</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18030820599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2"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16</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邛崃市水务局</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高级工程师</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顾问指导</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兼职服务</w:t>
            </w:r>
          </w:p>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项目合作</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国家级注册规划师，从事规划设计工作10年以上，主持参与过国家级课题项目</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szCs w:val="21"/>
                <w:lang w:eastAsia="zh-CN"/>
              </w:rPr>
              <w:t>沿海地区</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邵豫霞</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18782942122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80"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17</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邛崃市商务局</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服务业发展顾问</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顾问聘请</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研究生以上学历，高级经济师，有多年从事服务经济、城市经济研究经历，参与、主持过国家、省、市研究课题，在期刊、报纸公开发表过相关文章</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szCs w:val="21"/>
                <w:lang w:eastAsia="zh-CN"/>
              </w:rPr>
              <w:t>省内知名研究机构</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夏祥</w:t>
            </w:r>
          </w:p>
          <w:p>
            <w:pPr>
              <w:widowControl/>
              <w:spacing w:line="320" w:lineRule="exact"/>
              <w:jc w:val="center"/>
              <w:textAlignment w:val="center"/>
              <w:rPr>
                <w:rFonts w:hint="eastAsia" w:ascii="宋体" w:hAnsi="宋体" w:eastAsia="宋体" w:cs="方正仿宋简体"/>
                <w:kern w:val="0"/>
                <w:szCs w:val="21"/>
                <w:lang w:eastAsia="zh-CN" w:bidi="ar"/>
              </w:rPr>
            </w:pPr>
            <w:r>
              <w:rPr>
                <w:rFonts w:hint="eastAsia" w:ascii="宋体" w:hAnsi="宋体" w:cs="方正仿宋简体"/>
                <w:kern w:val="0"/>
                <w:szCs w:val="21"/>
                <w:lang w:bidi="ar"/>
              </w:rPr>
              <w:t>13679062935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18</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邛崃市委社治委</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社区发展治理工作顾问</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顾问指导</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副教授及以上，协助社会组织培育、社区志愿服务开展及指导调研报告撰写</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szCs w:val="21"/>
                <w:lang w:eastAsia="zh-CN"/>
              </w:rPr>
              <w:t>四川大学</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 xml:space="preserve">彭涛 </w:t>
            </w:r>
          </w:p>
          <w:p>
            <w:pPr>
              <w:widowControl/>
              <w:spacing w:line="320" w:lineRule="exact"/>
              <w:jc w:val="center"/>
              <w:textAlignment w:val="center"/>
              <w:rPr>
                <w:rFonts w:hint="eastAsia" w:ascii="宋体" w:hAnsi="宋体" w:eastAsia="宋体" w:cs="方正仿宋简体"/>
                <w:kern w:val="0"/>
                <w:szCs w:val="21"/>
                <w:lang w:eastAsia="zh-CN" w:bidi="ar"/>
              </w:rPr>
            </w:pPr>
            <w:r>
              <w:rPr>
                <w:rFonts w:hint="eastAsia" w:ascii="宋体" w:hAnsi="宋体" w:cs="方正仿宋简体"/>
                <w:kern w:val="0"/>
                <w:szCs w:val="21"/>
                <w:lang w:bidi="ar"/>
              </w:rPr>
              <w:t>13618016233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7"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19</w:t>
            </w:r>
          </w:p>
        </w:tc>
        <w:tc>
          <w:tcPr>
            <w:tcW w:w="2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邛崃市委社治委</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社区发展治理工作顾问</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顾问指导</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副教授及以上，从事社区发展治理方面的研究工作，协助成立社区基金会和创新项目工作</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西南财经大学</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彭涛</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 xml:space="preserve"> 13618016233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76"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20</w:t>
            </w:r>
          </w:p>
        </w:tc>
        <w:tc>
          <w:tcPr>
            <w:tcW w:w="2589"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邛崃</w:t>
            </w:r>
            <w:r>
              <w:rPr>
                <w:rFonts w:hint="eastAsia" w:ascii="宋体" w:hAnsi="宋体" w:cs="方正仿宋简体"/>
                <w:kern w:val="0"/>
                <w:szCs w:val="21"/>
                <w:lang w:eastAsia="zh-CN" w:bidi="ar"/>
              </w:rPr>
              <w:t>市</w:t>
            </w:r>
            <w:r>
              <w:rPr>
                <w:rFonts w:hint="eastAsia" w:ascii="宋体" w:hAnsi="宋体" w:cs="方正仿宋简体"/>
                <w:kern w:val="0"/>
                <w:szCs w:val="21"/>
                <w:lang w:bidi="ar"/>
              </w:rPr>
              <w:t>文体广电新闻出版和旅游局</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国际陶艺家</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kern w:val="0"/>
                <w:szCs w:val="21"/>
                <w:lang w:bidi="ar"/>
              </w:rPr>
            </w:pPr>
            <w:r>
              <w:rPr>
                <w:rFonts w:hint="eastAsia" w:ascii="宋体" w:hAnsi="宋体" w:cs="方正仿宋简体"/>
                <w:kern w:val="0"/>
                <w:szCs w:val="21"/>
                <w:lang w:bidi="ar"/>
              </w:rPr>
              <w:t>创新导师，项目</w:t>
            </w:r>
          </w:p>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合作</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博士，教授及以上；从事陶瓷艺术工作10年以上；具有丰富的制陶经验及教学经验；多次举办或参加国际级陶瓷展；多次获得国际级陶瓷方面奖项</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文博创意（韩国）</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邓敏</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13882180256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80"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21</w:t>
            </w:r>
          </w:p>
        </w:tc>
        <w:tc>
          <w:tcPr>
            <w:tcW w:w="2589"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邛崃</w:t>
            </w:r>
            <w:r>
              <w:rPr>
                <w:rFonts w:hint="eastAsia" w:ascii="宋体" w:hAnsi="宋体" w:cs="方正仿宋简体"/>
                <w:kern w:val="0"/>
                <w:szCs w:val="21"/>
                <w:lang w:eastAsia="zh-CN" w:bidi="ar"/>
              </w:rPr>
              <w:t>市</w:t>
            </w:r>
            <w:r>
              <w:rPr>
                <w:rFonts w:hint="eastAsia" w:ascii="宋体" w:hAnsi="宋体" w:cs="方正仿宋简体"/>
                <w:kern w:val="0"/>
                <w:szCs w:val="21"/>
                <w:lang w:bidi="ar"/>
              </w:rPr>
              <w:t>文体广电新闻出版和旅游局</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国际陶艺家</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kern w:val="0"/>
                <w:szCs w:val="21"/>
                <w:lang w:bidi="ar"/>
              </w:rPr>
            </w:pPr>
            <w:r>
              <w:rPr>
                <w:rFonts w:hint="eastAsia" w:ascii="宋体" w:hAnsi="宋体" w:cs="方正仿宋简体"/>
                <w:kern w:val="0"/>
                <w:szCs w:val="21"/>
                <w:lang w:bidi="ar"/>
              </w:rPr>
              <w:t>创新导师，项目</w:t>
            </w:r>
          </w:p>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合作</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本科及以上；从事陶瓷艺术工作10年以上；具有丰富的制陶经验及教学经验；多次举办或参加国际级陶瓷展；多次获得国际陶瓷方面奖项</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文博创意（以色列）</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邓敏</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13882180256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0"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22</w:t>
            </w:r>
          </w:p>
        </w:tc>
        <w:tc>
          <w:tcPr>
            <w:tcW w:w="2589"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邛崃</w:t>
            </w:r>
            <w:r>
              <w:rPr>
                <w:rFonts w:hint="eastAsia" w:ascii="宋体" w:hAnsi="宋体" w:cs="方正仿宋简体"/>
                <w:kern w:val="0"/>
                <w:szCs w:val="21"/>
                <w:lang w:eastAsia="zh-CN" w:bidi="ar"/>
              </w:rPr>
              <w:t>市</w:t>
            </w:r>
            <w:r>
              <w:rPr>
                <w:rFonts w:hint="eastAsia" w:ascii="宋体" w:hAnsi="宋体" w:cs="方正仿宋简体"/>
                <w:kern w:val="0"/>
                <w:szCs w:val="21"/>
                <w:lang w:bidi="ar"/>
              </w:rPr>
              <w:t>文体广电新闻出版和旅游局</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青年陶艺家</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创新导师</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省级工艺美术大师；从事陶瓷艺术工作10年及以上；拥有自己的陶瓷品牌；具有丰富的制陶经验及教学经验；多次举办或参加国际陶瓷展</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文博创意</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邓敏</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13882180256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5"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23</w:t>
            </w:r>
          </w:p>
        </w:tc>
        <w:tc>
          <w:tcPr>
            <w:tcW w:w="2589"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邛崃</w:t>
            </w:r>
            <w:r>
              <w:rPr>
                <w:rFonts w:hint="eastAsia" w:ascii="宋体" w:hAnsi="宋体" w:cs="方正仿宋简体"/>
                <w:kern w:val="0"/>
                <w:szCs w:val="21"/>
                <w:lang w:eastAsia="zh-CN" w:bidi="ar"/>
              </w:rPr>
              <w:t>市</w:t>
            </w:r>
            <w:r>
              <w:rPr>
                <w:rFonts w:hint="eastAsia" w:ascii="宋体" w:hAnsi="宋体" w:cs="方正仿宋简体"/>
                <w:kern w:val="0"/>
                <w:szCs w:val="21"/>
                <w:lang w:bidi="ar"/>
              </w:rPr>
              <w:t>文体广电新闻出版和旅游局</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国家级非物质文化遗产传承人</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创新导师</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省级工艺美术大师、从事藏羌织绣工作20年以上；曾与国际品牌合作；具有丰富的藏羌织绣经验及教学经验；多次获得国际国内藏羌织绣方面奖项</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文博创意</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邓敏</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13882180256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trPr>
        <w:tc>
          <w:tcPr>
            <w:tcW w:w="589"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24</w:t>
            </w:r>
          </w:p>
        </w:tc>
        <w:tc>
          <w:tcPr>
            <w:tcW w:w="2589" w:type="dxa"/>
            <w:tcMar>
              <w:top w:w="15" w:type="dxa"/>
              <w:left w:w="15" w:type="dxa"/>
              <w:right w:w="15" w:type="dxa"/>
            </w:tcMar>
            <w:vAlign w:val="center"/>
          </w:tcPr>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邛崃都市现代农业园区管委会</w:t>
            </w:r>
          </w:p>
        </w:tc>
        <w:tc>
          <w:tcPr>
            <w:tcW w:w="1245"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bidi="ar"/>
              </w:rPr>
              <w:t>管委会科技副主任</w:t>
            </w:r>
          </w:p>
        </w:tc>
        <w:tc>
          <w:tcPr>
            <w:tcW w:w="1048" w:type="dxa"/>
            <w:tcMar>
              <w:top w:w="15" w:type="dxa"/>
              <w:left w:w="15" w:type="dxa"/>
              <w:right w:w="15" w:type="dxa"/>
            </w:tcMar>
            <w:vAlign w:val="center"/>
          </w:tcPr>
          <w:p>
            <w:pPr>
              <w:widowControl/>
              <w:spacing w:line="320" w:lineRule="exact"/>
              <w:jc w:val="center"/>
              <w:textAlignment w:val="center"/>
              <w:rPr>
                <w:rFonts w:hint="eastAsia" w:ascii="宋体" w:hAnsi="宋体" w:eastAsia="宋体" w:cs="方正仿宋简体"/>
                <w:kern w:val="0"/>
                <w:szCs w:val="21"/>
                <w:lang w:val="en-US" w:eastAsia="zh-CN" w:bidi="ar"/>
              </w:rPr>
            </w:pPr>
            <w:r>
              <w:rPr>
                <w:rFonts w:hint="eastAsia" w:ascii="宋体" w:hAnsi="宋体" w:cs="方正仿宋简体"/>
                <w:kern w:val="0"/>
                <w:szCs w:val="21"/>
                <w:lang w:val="en-US" w:eastAsia="zh-CN" w:bidi="ar"/>
              </w:rPr>
              <w:t>1</w:t>
            </w:r>
          </w:p>
        </w:tc>
        <w:tc>
          <w:tcPr>
            <w:tcW w:w="1622" w:type="dxa"/>
            <w:tcMar>
              <w:top w:w="15" w:type="dxa"/>
              <w:left w:w="15" w:type="dxa"/>
              <w:right w:w="15" w:type="dxa"/>
            </w:tcMar>
            <w:vAlign w:val="center"/>
          </w:tcPr>
          <w:p>
            <w:pPr>
              <w:widowControl/>
              <w:spacing w:line="320" w:lineRule="exact"/>
              <w:jc w:val="left"/>
              <w:textAlignment w:val="center"/>
              <w:rPr>
                <w:rFonts w:hint="eastAsia" w:ascii="宋体" w:hAnsi="宋体" w:cs="方正仿宋简体"/>
                <w:kern w:val="0"/>
                <w:szCs w:val="21"/>
                <w:lang w:bidi="ar"/>
              </w:rPr>
            </w:pPr>
            <w:r>
              <w:rPr>
                <w:rFonts w:hint="eastAsia" w:ascii="宋体" w:hAnsi="宋体" w:cs="方正仿宋简体"/>
                <w:kern w:val="0"/>
                <w:szCs w:val="21"/>
                <w:lang w:bidi="ar"/>
              </w:rPr>
              <w:t>顾问指导、兼职</w:t>
            </w:r>
          </w:p>
          <w:p>
            <w:pPr>
              <w:widowControl/>
              <w:spacing w:line="320" w:lineRule="exact"/>
              <w:jc w:val="left"/>
              <w:textAlignment w:val="center"/>
              <w:rPr>
                <w:rFonts w:hint="eastAsia" w:ascii="宋体" w:hAnsi="宋体" w:cs="方正仿宋简体"/>
                <w:szCs w:val="21"/>
              </w:rPr>
            </w:pPr>
            <w:r>
              <w:rPr>
                <w:rFonts w:hint="eastAsia" w:ascii="宋体" w:hAnsi="宋体" w:cs="方正仿宋简体"/>
                <w:kern w:val="0"/>
                <w:szCs w:val="21"/>
                <w:lang w:bidi="ar"/>
              </w:rPr>
              <w:t>服务</w:t>
            </w:r>
          </w:p>
        </w:tc>
        <w:tc>
          <w:tcPr>
            <w:tcW w:w="2820" w:type="dxa"/>
            <w:tcMar>
              <w:top w:w="15" w:type="dxa"/>
              <w:left w:w="15" w:type="dxa"/>
              <w:right w:w="15" w:type="dxa"/>
            </w:tcMar>
            <w:vAlign w:val="center"/>
          </w:tcPr>
          <w:p>
            <w:pPr>
              <w:widowControl/>
              <w:spacing w:line="320" w:lineRule="exact"/>
              <w:jc w:val="left"/>
              <w:textAlignment w:val="center"/>
              <w:rPr>
                <w:rFonts w:hint="eastAsia" w:ascii="宋体" w:hAnsi="宋体" w:eastAsia="宋体" w:cs="方正仿宋简体"/>
                <w:szCs w:val="21"/>
                <w:lang w:eastAsia="zh-CN"/>
              </w:rPr>
            </w:pPr>
            <w:r>
              <w:rPr>
                <w:rFonts w:hint="eastAsia" w:ascii="宋体" w:hAnsi="宋体" w:cs="方正仿宋简体"/>
                <w:kern w:val="0"/>
                <w:szCs w:val="21"/>
                <w:lang w:bidi="ar"/>
              </w:rPr>
              <w:t>博士，高级职称以上；从事育种研究与技术推广5年以上</w:t>
            </w:r>
            <w:r>
              <w:rPr>
                <w:rFonts w:hint="eastAsia" w:ascii="宋体" w:hAnsi="宋体" w:cs="方正仿宋简体"/>
                <w:kern w:val="0"/>
                <w:szCs w:val="21"/>
                <w:lang w:eastAsia="zh-CN" w:bidi="ar"/>
              </w:rPr>
              <w:t>。</w:t>
            </w:r>
          </w:p>
        </w:tc>
        <w:tc>
          <w:tcPr>
            <w:tcW w:w="3238"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szCs w:val="21"/>
              </w:rPr>
            </w:pPr>
            <w:r>
              <w:rPr>
                <w:rFonts w:hint="eastAsia" w:ascii="宋体" w:hAnsi="宋体" w:cs="方正仿宋简体"/>
                <w:kern w:val="0"/>
                <w:szCs w:val="21"/>
                <w:lang w:eastAsia="zh-CN" w:bidi="ar"/>
              </w:rPr>
              <w:t>国内知名农业类科研院所</w:t>
            </w:r>
          </w:p>
        </w:tc>
        <w:tc>
          <w:tcPr>
            <w:tcW w:w="1900" w:type="dxa"/>
            <w:tcMar>
              <w:top w:w="15" w:type="dxa"/>
              <w:left w:w="15" w:type="dxa"/>
              <w:right w:w="15" w:type="dxa"/>
            </w:tcMar>
            <w:vAlign w:val="center"/>
          </w:tcPr>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卞丽茵</w:t>
            </w:r>
          </w:p>
          <w:p>
            <w:pPr>
              <w:widowControl/>
              <w:spacing w:line="320" w:lineRule="exact"/>
              <w:jc w:val="center"/>
              <w:textAlignment w:val="center"/>
              <w:rPr>
                <w:rFonts w:hint="eastAsia" w:ascii="宋体" w:hAnsi="宋体" w:cs="方正仿宋简体"/>
                <w:kern w:val="0"/>
                <w:szCs w:val="21"/>
                <w:lang w:bidi="ar"/>
              </w:rPr>
            </w:pPr>
            <w:r>
              <w:rPr>
                <w:rFonts w:hint="eastAsia" w:ascii="宋体" w:hAnsi="宋体" w:cs="方正仿宋简体"/>
                <w:kern w:val="0"/>
                <w:szCs w:val="21"/>
                <w:lang w:bidi="ar"/>
              </w:rPr>
              <w:t>13980035737</w:t>
            </w:r>
          </w:p>
        </w:tc>
      </w:tr>
    </w:tbl>
    <w:p>
      <w:pPr>
        <w:spacing w:line="550" w:lineRule="exact"/>
        <w:ind w:firstLine="652" w:firstLineChars="200"/>
        <w:rPr>
          <w:rFonts w:hint="eastAsia" w:ascii="方正仿宋简体" w:hAnsi="方正仿宋简体" w:eastAsia="方正仿宋简体" w:cs="方正仿宋简体"/>
          <w:sz w:val="33"/>
          <w:szCs w:val="33"/>
        </w:rPr>
      </w:pPr>
    </w:p>
    <w:p>
      <w:pPr>
        <w:spacing w:line="640" w:lineRule="exact"/>
        <w:rPr>
          <w:rFonts w:hint="eastAsia" w:ascii="方正仿宋简体" w:hAnsi="方正仿宋简体" w:eastAsia="方正仿宋简体" w:cs="方正仿宋简体"/>
          <w:sz w:val="33"/>
          <w:szCs w:val="33"/>
          <w:lang w:val="en-US" w:eastAsia="zh-CN"/>
        </w:rPr>
        <w:sectPr>
          <w:footerReference r:id="rId3" w:type="default"/>
          <w:pgSz w:w="16838" w:h="11906" w:orient="landscape"/>
          <w:pgMar w:top="1588" w:right="2098" w:bottom="1474" w:left="1985" w:header="0" w:footer="1418" w:gutter="0"/>
          <w:pgNumType w:fmt="decimal"/>
          <w:cols w:space="720" w:num="1"/>
          <w:docGrid w:type="linesAndChars" w:linePitch="579" w:charSpace="-849"/>
        </w:sectPr>
      </w:pPr>
      <w:r>
        <w:rPr>
          <w:rFonts w:hint="eastAsia" w:ascii="方正仿宋简体" w:hAnsi="方正仿宋简体" w:eastAsia="方正仿宋简体" w:cs="方正仿宋简体"/>
          <w:sz w:val="33"/>
          <w:szCs w:val="33"/>
        </w:rPr>
        <w:t>(《邛崃市“周末磁场”柔性引才引智需求岗位清单》根据人才供求情况动态更新，按批次进行发</w:t>
      </w:r>
      <w:r>
        <w:rPr>
          <w:rFonts w:hint="eastAsia" w:ascii="方正仿宋简体" w:hAnsi="方正仿宋简体" w:eastAsia="方正仿宋简体" w:cs="方正仿宋简体"/>
          <w:sz w:val="33"/>
          <w:szCs w:val="33"/>
          <w:lang w:eastAsia="zh-CN"/>
        </w:rPr>
        <w:t>布。）</w:t>
      </w:r>
    </w:p>
    <w:p>
      <w:pPr>
        <w:spacing w:line="590" w:lineRule="exact"/>
        <w:ind w:right="24"/>
        <w:rPr>
          <w:rFonts w:hint="eastAsia"/>
        </w:rPr>
      </w:pPr>
    </w:p>
    <w:p/>
    <w:sectPr>
      <w:footerReference r:id="rId4" w:type="default"/>
      <w:footerReference r:id="rId5" w:type="even"/>
      <w:pgSz w:w="11906" w:h="16838"/>
      <w:pgMar w:top="1928" w:right="1531" w:bottom="1928" w:left="1531" w:header="0" w:footer="170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tabs>
                              <w:tab w:val="left" w:pos="1106"/>
                              <w:tab w:val="left" w:pos="1264"/>
                            </w:tabs>
                            <w:ind w:firstLine="280" w:firstLineChars="100"/>
                            <w:rPr>
                              <w:rStyle w:val="4"/>
                              <w:rFonts w:ascii="宋体" w:hAnsi="宋体"/>
                              <w:sz w:val="28"/>
                              <w:szCs w:val="28"/>
                            </w:rPr>
                          </w:pPr>
                          <w:r>
                            <w:rPr>
                              <w:rStyle w:val="4"/>
                              <w:rFonts w:hint="eastAsia" w:ascii="宋体" w:hAnsi="宋体"/>
                              <w:sz w:val="28"/>
                              <w:szCs w:val="28"/>
                            </w:rPr>
                            <w:t xml:space="preserve">— </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1</w:t>
                          </w:r>
                          <w:r>
                            <w:rPr>
                              <w:rFonts w:ascii="宋体" w:hAnsi="宋体"/>
                              <w:sz w:val="28"/>
                              <w:szCs w:val="28"/>
                            </w:rPr>
                            <w:fldChar w:fldCharType="end"/>
                          </w:r>
                          <w:r>
                            <w:rPr>
                              <w:rStyle w:val="4"/>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tabs>
                        <w:tab w:val="left" w:pos="1106"/>
                        <w:tab w:val="left" w:pos="1264"/>
                      </w:tabs>
                      <w:ind w:firstLine="280" w:firstLineChars="100"/>
                      <w:rPr>
                        <w:rStyle w:val="4"/>
                        <w:rFonts w:ascii="宋体" w:hAnsi="宋体"/>
                        <w:sz w:val="28"/>
                        <w:szCs w:val="28"/>
                      </w:rPr>
                    </w:pPr>
                    <w:r>
                      <w:rPr>
                        <w:rStyle w:val="4"/>
                        <w:rFonts w:hint="eastAsia" w:ascii="宋体" w:hAnsi="宋体"/>
                        <w:sz w:val="28"/>
                        <w:szCs w:val="28"/>
                      </w:rPr>
                      <w:t xml:space="preserve">— </w:t>
                    </w: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1</w:t>
                    </w:r>
                    <w:r>
                      <w:rPr>
                        <w:rFonts w:ascii="宋体" w:hAnsi="宋体"/>
                        <w:sz w:val="28"/>
                        <w:szCs w:val="28"/>
                      </w:rPr>
                      <w:fldChar w:fldCharType="end"/>
                    </w:r>
                    <w:r>
                      <w:rPr>
                        <w:rStyle w:val="4"/>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4"/>
                              <w:rFonts w:hint="eastAsia"/>
                              <w:sz w:val="28"/>
                              <w:szCs w:val="28"/>
                            </w:rPr>
                          </w:pPr>
                          <w:r>
                            <w:rPr>
                              <w:rStyle w:val="4"/>
                              <w:rFonts w:hint="eastAsia"/>
                              <w:sz w:val="28"/>
                              <w:szCs w:val="28"/>
                            </w:rPr>
                            <w:t xml:space="preserve">— </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8</w:t>
                          </w:r>
                          <w:r>
                            <w:rPr>
                              <w:sz w:val="28"/>
                              <w:szCs w:val="28"/>
                            </w:rPr>
                            <w:fldChar w:fldCharType="end"/>
                          </w:r>
                          <w:r>
                            <w:rPr>
                              <w:rStyle w:val="4"/>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2"/>
                      <w:rPr>
                        <w:rStyle w:val="4"/>
                        <w:rFonts w:hint="eastAsia"/>
                        <w:sz w:val="28"/>
                        <w:szCs w:val="28"/>
                      </w:rPr>
                    </w:pPr>
                    <w:r>
                      <w:rPr>
                        <w:rStyle w:val="4"/>
                        <w:rFonts w:hint="eastAsia"/>
                        <w:sz w:val="28"/>
                        <w:szCs w:val="28"/>
                      </w:rPr>
                      <w:t xml:space="preserve">— </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8</w:t>
                    </w:r>
                    <w:r>
                      <w:rPr>
                        <w:sz w:val="28"/>
                        <w:szCs w:val="28"/>
                      </w:rPr>
                      <w:fldChar w:fldCharType="end"/>
                    </w:r>
                    <w:r>
                      <w:rPr>
                        <w:rStyle w:val="4"/>
                        <w:rFonts w:hint="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50616"/>
    <w:rsid w:val="71B506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uiPriority w:val="0"/>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2018-10-29T08:59:00Z</dcterms:created>
  <dc:creator>pc1</dc:creator>
  <cp:lastModifiedBy>pc1</cp:lastModifiedBy>
  <dcterms:modified xsi:type="dcterms:W3CDTF">2018-10-29T08:59:56Z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