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具体岗位及要求如下：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tbl>
      <w:tblPr>
        <w:tblW w:w="8364" w:type="dxa"/>
        <w:tblCellSpacing w:w="15" w:type="dxa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52"/>
        <w:gridCol w:w="552"/>
        <w:gridCol w:w="994"/>
        <w:gridCol w:w="586"/>
        <w:gridCol w:w="956"/>
        <w:gridCol w:w="2276"/>
        <w:gridCol w:w="1379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招聘部门</w:t>
            </w:r>
          </w:p>
        </w:tc>
        <w:tc>
          <w:tcPr>
            <w:tcW w:w="72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招聘岗位名称</w:t>
            </w:r>
          </w:p>
        </w:tc>
        <w:tc>
          <w:tcPr>
            <w:tcW w:w="52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9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工作地点</w:t>
            </w:r>
          </w:p>
        </w:tc>
        <w:tc>
          <w:tcPr>
            <w:tcW w:w="378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招聘要求</w:t>
            </w:r>
          </w:p>
        </w:tc>
        <w:tc>
          <w:tcPr>
            <w:tcW w:w="133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722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522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96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年龄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133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外科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吴井院区/长坡院区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25岁以下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护士执业资格考试成绩合格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关怀科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9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吴井院区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25岁以下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护士执业资格考试成绩合格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医生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6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30岁以下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有执业医师资格证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结核三科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医生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长坡院区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35岁以下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全日制硕士及以上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内科学（呼吸内科）、内科学（感染性疾病）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有执业医师资格证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血液净化中心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吴井院区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25岁以下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护士执业资格考试成绩合格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妇产科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医生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吴井院区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30岁以下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有执业医师资格证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急门诊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吴井院区/长坡院区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25岁以下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护士执业资格考试成绩合格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医生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30岁以下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有执业医师资格证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强制戒毒所医院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长坡院区</w:t>
            </w: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25岁以下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全日制大专及以上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护理学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护士执业资格考试成绩合格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医生</w:t>
            </w:r>
          </w:p>
        </w:tc>
        <w:tc>
          <w:tcPr>
            <w:tcW w:w="5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4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  <w:tc>
          <w:tcPr>
            <w:tcW w:w="5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30岁以下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22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13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sz w:val="15"/>
                <w:szCs w:val="15"/>
                <w:bdr w:val="none" w:color="auto" w:sz="0" w:space="0"/>
              </w:rPr>
              <w:t>有执业医师资格证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F1FAA"/>
    <w:rsid w:val="29BF1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2018-10-29T08:36:00Z</dcterms:created>
  <dc:creator>ASUS</dc:creator>
  <cp:lastModifiedBy>ASUS</cp:lastModifiedBy>
  <dcterms:modified xsi:type="dcterms:W3CDTF">2018-10-29T08:36:10Z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