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一、招聘职位、人数及资格条件</w:t>
      </w:r>
    </w:p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62"/>
        <w:gridCol w:w="1201"/>
        <w:gridCol w:w="1346"/>
        <w:gridCol w:w="2340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2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7" w:hRule="atLeast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合同制职员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35周岁（含35周岁）以下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法学类（B0301）、工商管理类（B1202）、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中国语言文学类（B0501）、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公共管理类（B1204）、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社会学类（B0303）、管理科学与工程类（B1201）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26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3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需夜间应急处理劳资纠纷，适合男性；持有C1以上驾驶证者优先。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1、应聘人员应遵守中华人民共和国宪法和法律，具备良好的品行和职业道德，身体健康。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2、尚未解除纪律处分或者正在接受纪律审查的人员，涉嫌违法犯罪正在接受调查的人员，不得应聘。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126" w:afterAutospacing="0" w:line="1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3、年龄计算截止时间到2018年11月12日。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7C1D"/>
    <w:rsid w:val="6B6C7C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愿风裁尘</dc:creator>
  <cp:lastModifiedBy>愿风裁尘</cp:lastModifiedBy>
  <dcterms:modified xsi:type="dcterms:W3CDTF">2018-10-31T03:38:26Z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