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color w:val="252525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52525"/>
          <w:sz w:val="21"/>
          <w:szCs w:val="21"/>
          <w:bdr w:val="none" w:color="auto" w:sz="0" w:space="0"/>
        </w:rPr>
        <w:t>招聘岗位和条件要求一览表</w:t>
      </w:r>
      <w:bookmarkStart w:id="0" w:name="_GoBack"/>
      <w:bookmarkEnd w:id="0"/>
    </w:p>
    <w:tbl>
      <w:tblPr>
        <w:tblW w:w="8302" w:type="dxa"/>
        <w:jc w:val="center"/>
        <w:tblCellSpacing w:w="0" w:type="dxa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1102"/>
        <w:gridCol w:w="1289"/>
        <w:gridCol w:w="1535"/>
        <w:gridCol w:w="3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02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全日制普通高校博士研究生不限专业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1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3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1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全日制普通高校本科（学士）及以上</w:t>
            </w:r>
          </w:p>
        </w:tc>
        <w:tc>
          <w:tcPr>
            <w:tcW w:w="1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3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具有中级职称及以上任职资格，且在三级医院有工作经历者。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计划财务科</w:t>
            </w:r>
          </w:p>
        </w:tc>
        <w:tc>
          <w:tcPr>
            <w:tcW w:w="110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28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全日制普通高校本科（学士）及以上</w:t>
            </w:r>
          </w:p>
        </w:tc>
        <w:tc>
          <w:tcPr>
            <w:tcW w:w="15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会计学、财务管理、审计学、资产评估、经济统计学、金融学等经济管理类专业。</w:t>
            </w:r>
          </w:p>
        </w:tc>
        <w:tc>
          <w:tcPr>
            <w:tcW w:w="3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1、年龄30岁-40岁；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3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2、具备中级会计师及以上资格，有其他相关证书，特别优秀者，可适当放宽；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3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3、具有财务管理、税务管理、资产管理岗位相关工作经验3年以上（含3年）；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3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4、在财政局、税务局、审计局、会计师事务所、国有大中型企业、同级公立医院财务科工作者优先。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3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运营管理办公室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全日制普通高校本科（学士）及以上</w:t>
            </w:r>
          </w:p>
        </w:tc>
        <w:tc>
          <w:tcPr>
            <w:tcW w:w="1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公共事业管理、卫生事业管理、医院管理、工商管理、财务管理等管理类专业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301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D4CBA"/>
    <w:rsid w:val="576D4C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2018-11-02T05:22:00Z</dcterms:created>
  <dc:creator>天空</dc:creator>
  <cp:lastModifiedBy>天空</cp:lastModifiedBy>
  <dcterms:modified xsi:type="dcterms:W3CDTF">2018-11-02T05:23:33Z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