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2018年公开招聘编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外</w:t>
      </w:r>
      <w:r>
        <w:rPr>
          <w:rFonts w:hint="eastAsia" w:ascii="方正小标宋简体" w:eastAsia="方正小标宋简体"/>
          <w:sz w:val="36"/>
          <w:szCs w:val="36"/>
        </w:rPr>
        <w:t>工作人员报名资格审查表</w:t>
      </w:r>
    </w:p>
    <w:p>
      <w:pPr>
        <w:wordWrap w:val="0"/>
        <w:spacing w:line="600" w:lineRule="exact"/>
        <w:ind w:right="48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填表时间：    年 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</w:t>
      </w:r>
    </w:p>
    <w:p>
      <w:pPr>
        <w:spacing w:line="320" w:lineRule="exact"/>
        <w:ind w:left="660" w:leftChars="20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2.“直系亲属及主要社会关系”包括夫妻关系、直系血亲关系、三代以内旁系血亲和近姻亲。</w:t>
      </w:r>
    </w:p>
    <w:p>
      <w:pPr>
        <w:widowControl/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2018-11-08T07:52:12Z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