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D2" w:rsidRPr="00CA34D2" w:rsidRDefault="00CA34D2" w:rsidP="00CA34D2">
      <w:pPr>
        <w:widowControl/>
        <w:shd w:val="clear" w:color="auto" w:fill="FFFFFF"/>
        <w:spacing w:line="375" w:lineRule="atLeast"/>
        <w:ind w:left="765" w:right="765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r w:rsidRPr="00CA34D2">
        <w:rPr>
          <w:rFonts w:ascii="Simsun" w:eastAsia="宋体" w:hAnsi="Simsun" w:cs="宋体"/>
          <w:color w:val="000000"/>
          <w:kern w:val="0"/>
          <w:sz w:val="33"/>
          <w:szCs w:val="33"/>
        </w:rPr>
        <w:t>2018</w:t>
      </w:r>
      <w:r w:rsidRPr="00CA34D2">
        <w:rPr>
          <w:rFonts w:ascii="Simsun" w:eastAsia="宋体" w:hAnsi="Simsun" w:cs="宋体"/>
          <w:color w:val="000000"/>
          <w:kern w:val="0"/>
          <w:sz w:val="33"/>
          <w:szCs w:val="33"/>
        </w:rPr>
        <w:t>年新疆克拉玛依市公安局公开招聘事业</w:t>
      </w:r>
      <w:proofErr w:type="gramStart"/>
      <w:r w:rsidRPr="00CA34D2">
        <w:rPr>
          <w:rFonts w:ascii="Simsun" w:eastAsia="宋体" w:hAnsi="Simsun" w:cs="宋体"/>
          <w:color w:val="000000"/>
          <w:kern w:val="0"/>
          <w:sz w:val="33"/>
          <w:szCs w:val="33"/>
        </w:rPr>
        <w:t>性岗位</w:t>
      </w:r>
      <w:proofErr w:type="gramEnd"/>
      <w:r w:rsidRPr="00CA34D2">
        <w:rPr>
          <w:rFonts w:ascii="Simsun" w:eastAsia="宋体" w:hAnsi="Simsun" w:cs="宋体"/>
          <w:color w:val="000000"/>
          <w:kern w:val="0"/>
          <w:sz w:val="33"/>
          <w:szCs w:val="33"/>
        </w:rPr>
        <w:t>工作人员专业参考目录</w:t>
      </w:r>
    </w:p>
    <w:bookmarkEnd w:id="0"/>
    <w:p w:rsidR="00CA34D2" w:rsidRPr="00CA34D2" w:rsidRDefault="00CA34D2" w:rsidP="00CA34D2">
      <w:pPr>
        <w:widowControl/>
        <w:shd w:val="clear" w:color="auto" w:fill="FFFFFF"/>
        <w:spacing w:before="225" w:after="225" w:line="375" w:lineRule="atLeast"/>
        <w:ind w:left="765" w:right="76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A34D2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13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65"/>
        <w:gridCol w:w="11235"/>
      </w:tblGrid>
      <w:tr w:rsidR="00CA34D2" w:rsidRPr="00CA34D2" w:rsidTr="00CA34D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序号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专业类别</w:t>
            </w:r>
          </w:p>
        </w:tc>
        <w:tc>
          <w:tcPr>
            <w:tcW w:w="1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涵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 xml:space="preserve">  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盖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 xml:space="preserve">  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专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 xml:space="preserve">  </w:t>
            </w: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业</w:t>
            </w:r>
          </w:p>
        </w:tc>
      </w:tr>
      <w:tr w:rsidR="00CA34D2" w:rsidRPr="00CA34D2" w:rsidTr="00CA34D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计算机类</w:t>
            </w:r>
          </w:p>
        </w:tc>
        <w:tc>
          <w:tcPr>
            <w:tcW w:w="1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WEB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应用程序设计、电器与电脑、电子工程与计算机应用、电子计算机、电子技术及微机应用、电子信息科学与技术、电子与计算机工程、计算机、计算机办公应用、教育技术学、教育技术（电教）、计算机操作、计算机操作及运用、计算机管理及应用、计算机管理与运用、计算机及应用、计算机及应用管理、计算机及运用、计算机技术、计算机技术应用、计算机技术与科学、计算机技术与应用、计算机教育、计算机科学及应用、计算机科学技术教育、计算机科学教育、计算机科学现代教育技术、计算机科学与技术、计算机科学与教育、计算机科学与应用、计算机控制、计算机控制技术、计算机控制与管理、计算机器件及设备、计算机软件、计算机软件工程、计算机软件技术、计算机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软件开发、计算机软件与理论、计算机实用技术、计算机网络、计算机网络工程、计算机网络工程与管理、计算机网络构建与管理维护、计算机网络管理、计算机网络及技术、计算机网络技术、计算机网络技术管理、计算机网络教育、计算机网络信息工程、计算机网络信息技术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及网络、计算机信息与网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与外设、计算机与电子通信、计算机与信息管理、计算机信息管理、计算机与信息科学、计算机与应用、计算机运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用、计算机运用及维护技术、计算机运用技术、计算机运用与管理、计算机运用与维护、计算机组装与维修、计算数学、信息与计算科学、计算数学及其应用软件、可视化程序设计、空间信息与数字技术、模式识别与智能系统、软件测试、软件工程、通信工程、电子信息工程、软件技术、软件开发、软件开发技术、数据库管理、数据库应用及信息管理、网络工程、网络构建与管理维护、网络管理与维护、光信息科学与技术、数字媒体与技术、数字媒体技术、网络技术、网络技术与信息处理、网络系统管理、网络与信息安全、微机应用、微型计算机及应用、图形图像制作、物联网工程、系统分析与集成、信息管理与信息系统、信息安全、信息安全技术、信息对抗技术、各类（计算机）软件技术（工程），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计算机软件、（信息）网络安全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（监察）、地球（地理）信息系统（科学或技术）、信息与计算（机）科学、计算机科学（技术或教育）、计算数学及其应用软件、计算机与经济管理、计算机应用软件、计算机系统维护、计算机硬件（器件或设备）、电器与电脑、可视化程序设计、多媒体制作、视觉传达设计、</w:t>
            </w:r>
            <w:proofErr w:type="gramStart"/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动漫设计</w:t>
            </w:r>
            <w:proofErr w:type="gramEnd"/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与制作、电子商务、办公自动化技术、智能科学与技术、教育技术学、信息管理与信息系统、软件测试</w:t>
            </w:r>
          </w:p>
        </w:tc>
      </w:tr>
      <w:tr w:rsidR="00CA34D2" w:rsidRPr="00CA34D2" w:rsidTr="00CA34D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会计审计类</w:t>
            </w:r>
          </w:p>
        </w:tc>
        <w:tc>
          <w:tcPr>
            <w:tcW w:w="1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边贸会计、财会、财会电算化、财会统计、财会与审计、财务管理、工商管理（财务管理）、财务会计、财务会计电算化、财务会计教育、财务会计与审计、财务信息管理、电算化会计、电算会计、法</w:t>
            </w:r>
            <w:proofErr w:type="gramStart"/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务</w:t>
            </w:r>
            <w:proofErr w:type="gramEnd"/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会计、工业会计、工业及涉外会计、工业企业财务会计、国际会计、会计、会计电算化、会计计算机应用、会计统计、会计学、会计与金融、会计与审计、会计与统计、会计与统计核算、计算机财会、金融会计、三资企业财务会计、商业财务会计、涉外财务会计、涉外会计、涉外商务及财务会计、审计、审计实务、审计学、实用会计、外贸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会计、预算会计、注册会计师</w:t>
            </w:r>
          </w:p>
        </w:tc>
      </w:tr>
      <w:tr w:rsidR="00CA34D2" w:rsidRPr="00CA34D2" w:rsidTr="00CA34D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lastRenderedPageBreak/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电子信息类</w:t>
            </w:r>
          </w:p>
        </w:tc>
        <w:tc>
          <w:tcPr>
            <w:tcW w:w="1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程控交换技术、电波传播与天线、电磁场与无线技术、电信工程及管理、电子、电子电工、电子封装技术、电子工程、电子技术、电子技术应用、电子技术与应用、电子技术与运用、电子科学与技术、电子声像、电子声像技术、电子信息、电子信息工程、电子信息工程技术、电子信息科学与技术、电子学与信息系统、电子应用、电子应用技术、电子与信息枝术、电子与通信工程、光电工程、光电技术、光电技术应用、光电技术与应用、光电技术与运用、光电技术运用、光电信息工程、光电信息技术、光电信息科学与工程、光电信息科学与技术、光电子技术、光电子技术科学、光电子技术应用、光电子技术与应用、光电子应用技术、光信息科学与技术、光学电子应用技术、广播电视工程、集成电路设计与集成系统、计算机通信、计算机通信工程、计算机通讯及管理、计算机信息工程、计算机与电子通信、计算机与信息管理、计算信息管理、实用电子技术、水声工程、通信工程、通信技术、通信技术与网络、通信网络与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设备、通信系统运行管理、通信与网络工程、通信与信息技术、通信与信息系统、通信与信息系统管理、通讯设备应用与维护、微电子技术、微电子科学与工程、微电子学、微电子学与固体电子学、无线电技术、无线电学、物理电子技术、物理电子学、信号与信息处理、信息工程、信息工程学、信息工程与网络技术、信息工程与自动化、信息管理、信息管理技术应用、信息管理应用软件、信息管理与办公自动化、信息管理与服务、信息管理与技术、信息管理与应用、信息化办公平面设计、信息化建设、信息化制造工程、信息及通信网络应用技术、信息技术、信息技术应用与管理、信息技术运用与管理、信息科学技术、信息与计算科学、信息网络安全监察、信息系统、信息系统分析与集成、信息显示与光电技术、信息学、信息与多媒体、信息与通信工程、信息与信息系统、信息管理与信息系统、信息自动化、医学信息工程、医学信息学、移动通信技术、移动通讯、应用电子技术、应用电子技术教育、运用电子技术、智能科学与技术、科技防卫、信息安全、影视艺术技术、信息技术与商务管理、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生物医学工程、网络工程、假肢矫形工程、数字媒体艺术、数字媒体技术、医学影像工程、电磁场与无线技术</w:t>
            </w:r>
          </w:p>
        </w:tc>
      </w:tr>
      <w:tr w:rsidR="00CA34D2" w:rsidRPr="00CA34D2" w:rsidTr="00CA34D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lastRenderedPageBreak/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中国语言文学类</w:t>
            </w:r>
          </w:p>
        </w:tc>
        <w:tc>
          <w:tcPr>
            <w:tcW w:w="1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4D2" w:rsidRPr="00CA34D2" w:rsidRDefault="00CA34D2" w:rsidP="00CA34D2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汉语、汉语国际教育、汉语言、汉语言文学、汉语言文学教育、汉语言文字学、汉语语言文学、经济秘书、科技文秘、秘书、秘书学、商务秘书、商务文秘、书法教育、办公自动化与文秘、比较文学与世界文学、维吾尔语言、维吾尔语、维吾尔语言教育、哈萨克语言、蒙古语言、中国语言文化（维语方向）、汉语言翻译、维汉翻译、维英汉翻译、藏汉翻译、蒙汉翻译、少数民族文文秘与信息化、少数民族语言文学教育辅修法律、维汉双语、维汉双语教育、维汉双语教学、维文文秘与信息化、对外汉语、法律文秘、公共关系与文秘、公关与文秘、古典文献学、少数民族语言与文学、维吾尔语言文学、蒙古语言文学、涉外秘书、涉外文秘、涉外文秘与公共关系、司法文秘、文秘、文秘教育、文秘与办公自动化、文秘与档案、文秘与档案管理、档案学、文学、文艺学、现代秘书与公共关系、现代秘书与微机应用、现代文秘、彝语、朝鲜语、应用语言</w:t>
            </w:r>
            <w:r w:rsidRPr="00CA34D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学、语文教育、语言学及应用语言学、中国古代文学、中国古典文献学、中国少数民族语言文学、中国文学、中国现当代文学、戏剧影视文学、汉语言文学与文化传播、中国语言文化、中文教育、中英文秘、对外汉语、中国少数民族语言（可注明维、哈、蒙、柯尔克孜、锡伯等各少数民族）、中国少数民族语言文学（可注明各少数民族）、中国少数民族语言文化、中国学、古典文献、汉语国际教育、应用语言学、秘书学、文秘教育、汉语言文学、汉语言文学教育、汉语言文学（师范）、汉语言教育、中国语言文学、中国语言文学教育、维吾尔语言教育、汉语言、中国语言文化、中文应用、对外汉语、华文教育、应用语言学、戏剧影视文学、古典文献、汉语言文学（财经文秘方向）、文秘学、中文（文秘或秘书）教育、现代秘书、司法文秘（秘书）等各类专业文秘（秘书）等相关专业、文学阅读与文学教育</w:t>
            </w:r>
          </w:p>
        </w:tc>
      </w:tr>
    </w:tbl>
    <w:p w:rsidR="007B2D53" w:rsidRPr="00CA34D2" w:rsidRDefault="007B2D53" w:rsidP="00CA34D2"/>
    <w:sectPr w:rsidR="007B2D53" w:rsidRPr="00CA34D2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F338E"/>
    <w:rsid w:val="0018246E"/>
    <w:rsid w:val="00532CB6"/>
    <w:rsid w:val="007B2D53"/>
    <w:rsid w:val="007D4122"/>
    <w:rsid w:val="00996B30"/>
    <w:rsid w:val="00A36E27"/>
    <w:rsid w:val="00A717D2"/>
    <w:rsid w:val="00C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  <w:style w:type="character" w:styleId="a4">
    <w:name w:val="Strong"/>
    <w:basedOn w:val="a0"/>
    <w:uiPriority w:val="22"/>
    <w:qFormat/>
    <w:rsid w:val="007D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  <w:style w:type="character" w:styleId="a4">
    <w:name w:val="Strong"/>
    <w:basedOn w:val="a0"/>
    <w:uiPriority w:val="22"/>
    <w:qFormat/>
    <w:rsid w:val="007D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</Words>
  <Characters>2851</Characters>
  <Application>Microsoft Office Word</Application>
  <DocSecurity>0</DocSecurity>
  <Lines>23</Lines>
  <Paragraphs>6</Paragraphs>
  <ScaleCrop>false</ScaleCrop>
  <Company>微软中国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2018-11-09T01:25:00Z</dcterms:created>
  <dcterms:modified xsi:type="dcterms:W3CDTF">2018-11-09T01:25:00Z</dcterms:modified>
</cp:coreProperties>
</file>