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horzAnchor="margin" w:tblpX="1" w:tblpY="-479"/>
        <w:tblW w:w="138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765"/>
        <w:gridCol w:w="1008"/>
        <w:gridCol w:w="836"/>
        <w:gridCol w:w="480"/>
        <w:gridCol w:w="706"/>
        <w:gridCol w:w="1935"/>
        <w:gridCol w:w="1365"/>
        <w:gridCol w:w="2175"/>
        <w:gridCol w:w="40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03" w:hRule="atLeast"/>
        </w:trPr>
        <w:tc>
          <w:tcPr>
            <w:tcW w:w="1386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eastAsia="黑体" w:cs="Times New Roman"/>
                <w:color w:val="000000"/>
                <w:kern w:val="0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eastAsia="黑体" w:cs="Times New Roman"/>
                <w:color w:val="000000"/>
                <w:kern w:val="0"/>
                <w:szCs w:val="32"/>
                <w:lang w:bidi="ar"/>
              </w:rPr>
              <w:t>附件1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方正小标宋简体" w:cs="Times New Roman"/>
                <w:color w:val="000000"/>
                <w:sz w:val="40"/>
                <w:szCs w:val="40"/>
              </w:rPr>
            </w:pPr>
            <w:r>
              <w:rPr>
                <w:rFonts w:eastAsia="方正小标宋简体" w:cs="Times New Roman"/>
                <w:color w:val="000000"/>
                <w:kern w:val="0"/>
                <w:sz w:val="36"/>
                <w:szCs w:val="36"/>
                <w:lang w:bidi="ar"/>
              </w:rPr>
              <w:t>2018年开江县部分医疗卫生事业单位高层次</w:t>
            </w:r>
            <w:r>
              <w:rPr>
                <w:rFonts w:hint="eastAsia" w:eastAsia="方正小标宋简体" w:cs="Times New Roman"/>
                <w:color w:val="000000"/>
                <w:kern w:val="0"/>
                <w:sz w:val="36"/>
                <w:szCs w:val="36"/>
                <w:lang w:bidi="ar"/>
              </w:rPr>
              <w:t>人才</w:t>
            </w:r>
            <w:r>
              <w:rPr>
                <w:rFonts w:eastAsia="方正小标宋简体" w:cs="Times New Roman"/>
                <w:color w:val="000000"/>
                <w:kern w:val="0"/>
                <w:sz w:val="36"/>
                <w:szCs w:val="36"/>
                <w:lang w:bidi="ar"/>
              </w:rPr>
              <w:t>、</w:t>
            </w:r>
            <w:r>
              <w:rPr>
                <w:rFonts w:hint="eastAsia" w:eastAsia="方正小标宋简体" w:cs="Times New Roman"/>
                <w:color w:val="000000"/>
                <w:kern w:val="0"/>
                <w:sz w:val="36"/>
                <w:szCs w:val="36"/>
                <w:lang w:bidi="ar"/>
              </w:rPr>
              <w:t>急需</w:t>
            </w:r>
            <w:r>
              <w:rPr>
                <w:rFonts w:eastAsia="方正小标宋简体" w:cs="Times New Roman"/>
                <w:color w:val="000000"/>
                <w:kern w:val="0"/>
                <w:sz w:val="36"/>
                <w:szCs w:val="36"/>
                <w:lang w:bidi="ar"/>
              </w:rPr>
              <w:t>紧缺</w:t>
            </w:r>
            <w:r>
              <w:rPr>
                <w:rFonts w:hint="eastAsia" w:eastAsia="方正小标宋简体" w:cs="Times New Roman"/>
                <w:color w:val="000000"/>
                <w:kern w:val="0"/>
                <w:sz w:val="36"/>
                <w:szCs w:val="36"/>
                <w:lang w:bidi="ar"/>
              </w:rPr>
              <w:t>专业</w:t>
            </w:r>
            <w:r>
              <w:rPr>
                <w:rFonts w:eastAsia="方正小标宋简体" w:cs="Times New Roman"/>
                <w:color w:val="000000"/>
                <w:kern w:val="0"/>
                <w:sz w:val="36"/>
                <w:szCs w:val="36"/>
                <w:lang w:bidi="ar"/>
              </w:rPr>
              <w:t>人才需求职位表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7" w:hRule="atLeast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1"/>
                <w:szCs w:val="21"/>
                <w:lang w:bidi="ar"/>
              </w:rPr>
              <w:t>职位代码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黑体" w:cs="Times New Roman"/>
                <w:color w:val="00000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  <w:lang w:bidi="ar"/>
              </w:rPr>
              <w:t>主管</w:t>
            </w:r>
            <w:r>
              <w:rPr>
                <w:rFonts w:eastAsia="黑体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eastAsia="黑体" w:cs="Times New Roman"/>
                <w:color w:val="000000"/>
                <w:kern w:val="0"/>
                <w:sz w:val="21"/>
                <w:szCs w:val="21"/>
                <w:lang w:bidi="ar"/>
              </w:rPr>
              <w:t>部门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黑体" w:cs="Times New Roman"/>
                <w:color w:val="00000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  <w:lang w:bidi="ar"/>
              </w:rPr>
              <w:t>用人单位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  <w:lang w:bidi="ar"/>
              </w:rPr>
              <w:t>岗位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黑体" w:cs="Times New Roman"/>
                <w:color w:val="00000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黑体" w:cs="Times New Roman"/>
                <w:color w:val="00000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  <w:lang w:bidi="ar"/>
              </w:rPr>
              <w:t>招聘数额</w:t>
            </w:r>
          </w:p>
        </w:tc>
        <w:tc>
          <w:tcPr>
            <w:tcW w:w="618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黑体" w:cs="Times New Roman"/>
                <w:color w:val="00000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  <w:lang w:bidi="ar"/>
              </w:rPr>
              <w:t>招聘条件</w:t>
            </w:r>
          </w:p>
        </w:tc>
        <w:tc>
          <w:tcPr>
            <w:tcW w:w="4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黑体" w:cs="Times New Roman"/>
                <w:color w:val="00000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  <w:lang w:bidi="ar"/>
              </w:rPr>
              <w:t>备  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1" w:hRule="atLeast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黑体" w:cs="Times New Roman"/>
                <w:color w:val="00000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黑体" w:cs="Times New Roman"/>
                <w:color w:val="00000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  <w:lang w:bidi="ar"/>
              </w:rPr>
              <w:t>学历学位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黑体" w:cs="Times New Roman"/>
                <w:color w:val="00000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  <w:lang w:bidi="ar"/>
              </w:rPr>
              <w:t>专  业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黑体" w:cs="Times New Roman"/>
                <w:color w:val="000000"/>
                <w:sz w:val="21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 w:val="21"/>
                <w:szCs w:val="21"/>
                <w:lang w:bidi="ar"/>
              </w:rPr>
              <w:t>知识及技能条件要求</w:t>
            </w: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1801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开江县卫计局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开江县人民医院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普通高等教育全日制大学研究生及以上学历和硕士及以上学位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外科学（肝胆类）等相关专业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具有执业医师资格证</w:t>
            </w:r>
          </w:p>
        </w:tc>
        <w:tc>
          <w:tcPr>
            <w:tcW w:w="4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textAlignment w:val="center"/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1.县级引才政策：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①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博士研究生：安家补助15万元，岗位激励奖0.96万元/年，科研经费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万元/年，县特殊人才津贴1.2万元/年；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②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硕士研究生：安家补助3万元，岗位激励奖0.12万元/年，科研经费1万元/年，县特殊人才津贴0.6万元/年；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③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急需紧缺专业大学本科毕业生：安家补助2万元，县特殊人才津贴0.12万元/年；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④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优先安排入住人才公寓。                                       2.院级引才政策：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①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院级人才激励金10-15万元；                     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②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5年租房补贴（0.5万元/年）。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71" w:hRule="atLeast"/>
        </w:trPr>
        <w:tc>
          <w:tcPr>
            <w:tcW w:w="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1802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开江县卫计局</w:t>
            </w:r>
          </w:p>
        </w:tc>
        <w:tc>
          <w:tcPr>
            <w:tcW w:w="10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普通高等教育全日制大学研究生及以上学历和硕士及以上学位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外科学（骨科类）等相关专业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具有执业医师资格证</w:t>
            </w: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06" w:hRule="atLeast"/>
        </w:trPr>
        <w:tc>
          <w:tcPr>
            <w:tcW w:w="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1803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开江县卫计局</w:t>
            </w:r>
          </w:p>
        </w:tc>
        <w:tc>
          <w:tcPr>
            <w:tcW w:w="10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普通高等教育全日制大学研究生及以上学历和硕士及以上学位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外科学（脑外科类）等相关专业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具有执业医师资格证</w:t>
            </w: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31" w:hRule="atLeast"/>
        </w:trPr>
        <w:tc>
          <w:tcPr>
            <w:tcW w:w="5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1804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开江县卫计局</w:t>
            </w:r>
          </w:p>
        </w:tc>
        <w:tc>
          <w:tcPr>
            <w:tcW w:w="10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普通高等教育全日制大学研究生及以上学历和硕士及以上学位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内科学（心血管类）等相关专业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具有执业医师资格证</w:t>
            </w: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79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1805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开江县卫计局</w:t>
            </w:r>
          </w:p>
        </w:tc>
        <w:tc>
          <w:tcPr>
            <w:tcW w:w="10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普通高等教育全日制大学研究生及以上学历和硕士及以上学位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内科学（呼吸类）等相关专业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具有执业医师资格证</w:t>
            </w: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72" w:hRule="atLeast"/>
        </w:trPr>
        <w:tc>
          <w:tcPr>
            <w:tcW w:w="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1806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开江县卫计局</w:t>
            </w:r>
          </w:p>
        </w:tc>
        <w:tc>
          <w:tcPr>
            <w:tcW w:w="10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普通高等教育全日制大学研究生及以上学历和硕士及以上学位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肿瘤学等相关专业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具有执业医师资格证</w:t>
            </w: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76" w:hRule="atLeast"/>
        </w:trPr>
        <w:tc>
          <w:tcPr>
            <w:tcW w:w="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1807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开江县卫计局</w:t>
            </w:r>
          </w:p>
        </w:tc>
        <w:tc>
          <w:tcPr>
            <w:tcW w:w="1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普通高等教育全日制大学研究生及以上学历和硕士及以上学位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儿科学等相关专业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具有执业医师资格证</w:t>
            </w: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35" w:hRule="atLeast"/>
        </w:trPr>
        <w:tc>
          <w:tcPr>
            <w:tcW w:w="5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1808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开江县卫计局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开江县人民医院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普通高等教育全日制大学本科及以上学历和学士及以上学位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textAlignment w:val="center"/>
              <w:rPr>
                <w:rFonts w:eastAsia="宋体" w:cs="Times New Roman"/>
                <w:color w:val="FF00FF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具有执业医师资格证且取得省级及以上卫生计生行政部门颁发的《住院医师规范化培训合格证书》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1.县级引才政策：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①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博士研究生：安家补助15万元，岗位激励奖0.96万元/年，科研经费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万元/年，县特殊人才津贴1.2万元/年；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②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硕士研究生：安家补助3万元，岗位激励奖0.12万元/年，科研经费1万元/年，县特殊人才津贴0.6万元/年；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③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急需紧缺专业大学本科毕业生：安家补助2万元，县特殊人才津贴0.12万元/年；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④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优先安排入住人才公寓。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2.院级引才政策：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院级人才激励金8-12万元。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21" w:hRule="atLeast"/>
        </w:trPr>
        <w:tc>
          <w:tcPr>
            <w:tcW w:w="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1809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开江县卫计局</w:t>
            </w:r>
          </w:p>
        </w:tc>
        <w:tc>
          <w:tcPr>
            <w:tcW w:w="10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普通高等教育全日制大学本科及以上学历和学士及以上学位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textAlignment w:val="center"/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县级引才政策：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①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博士研究生：安家补助15万元，岗位激励奖0.96万元/年，科研经费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万元/年，县特殊人才津贴1.2万元/年；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②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硕士研究生：安家补助3万元，岗位激励奖0.12万元/年，科研经费1万元/年，县特殊人才津贴0.6万元/年；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③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急需紧缺专业大学本科毕业生：安家补助2万元，县特殊人才津贴0.12万元/年。</w:t>
            </w:r>
          </w:p>
          <w:p>
            <w:pPr>
              <w:widowControl/>
              <w:spacing w:line="260" w:lineRule="exact"/>
              <w:ind w:firstLine="0" w:firstLineChars="0"/>
              <w:jc w:val="left"/>
              <w:textAlignment w:val="center"/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④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优先安排入住人才公寓。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5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1810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开江县卫计局</w:t>
            </w:r>
          </w:p>
        </w:tc>
        <w:tc>
          <w:tcPr>
            <w:tcW w:w="10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普通高等教育全日制大学本科及以上学历和学士及以上学位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医学影像、医学影像学等相关专业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1811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开江县卫计局</w:t>
            </w:r>
          </w:p>
        </w:tc>
        <w:tc>
          <w:tcPr>
            <w:tcW w:w="10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普通高等教育全日制大学本科及以上学历和学士及以上学位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护理、护理学等相关专业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5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1812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开江县卫计局</w:t>
            </w:r>
          </w:p>
        </w:tc>
        <w:tc>
          <w:tcPr>
            <w:tcW w:w="10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普通高等教育全日制大学本科及以上学历和学士及以上学位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药学等相关专业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1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开江县卫计局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开江县中医院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普通高等教育全日制大学本科及以上学历和学士及以上学位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医学影像、医学影像学等相关专业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县级引才政策：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①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博士研究生：安家补助15万元，岗位激励奖0.96万元/年，科研经费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万元/年，县特殊人才津贴1.2万元/年；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②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硕士研究生：安家补助3万元，岗位激励奖0.12万元/年，科研经费1万元/年，县特殊人才津贴0.6万元/年；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③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急需紧缺专业大学本科毕业生：安家补助2万元，县特殊人才津贴0.12万元/年；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④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优先安排入住人才公寓。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86" w:hRule="atLeast"/>
        </w:trPr>
        <w:tc>
          <w:tcPr>
            <w:tcW w:w="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开江县卫计局</w:t>
            </w: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普通高等教育全日制大学本科及以上学历和学士及以上学位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具有执业医师资格证（2017年5月31日以后毕业的暂免执业资格证）</w:t>
            </w:r>
          </w:p>
        </w:tc>
        <w:tc>
          <w:tcPr>
            <w:tcW w:w="40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23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开江县卫计局</w:t>
            </w: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普通高等教育全日制大学本科及以上学历和学士及以上学位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中医学、中西医结合、中西医临床医学等相关专业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具有执业医师资格证（2017年5月31日以后毕业的暂免执业资格证）</w:t>
            </w:r>
          </w:p>
        </w:tc>
        <w:tc>
          <w:tcPr>
            <w:tcW w:w="40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86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开江县卫计局</w:t>
            </w: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普通高等教育全日制大学本科及以上学历和学士及以上学位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耳鼻咽喉科学、中医五官科学等相关专业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具有执业医师资格证（2017年5月31日以后毕业的暂免执</w:t>
            </w: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业资格证）</w:t>
            </w:r>
          </w:p>
        </w:tc>
        <w:tc>
          <w:tcPr>
            <w:tcW w:w="40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4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开江县卫计局</w:t>
            </w: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普通高等教育全日制大学本科及以上学历和学士及以上学位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眼视光医学、眼科学等相关专业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FF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具有执业医师资格证（2017年5月31日以后毕业的暂免执</w:t>
            </w: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业资格证）</w:t>
            </w:r>
          </w:p>
        </w:tc>
        <w:tc>
          <w:tcPr>
            <w:tcW w:w="4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46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开江县卫计局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开江县妇幼保健计划生育服务中心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普通高等教育全日制大学本科及以上学历和学士及以上学位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医学影像、医学影像学等相关专业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县级引才政策：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①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博士研究生：安家补助15万元，岗位激励奖0.96万元/年，科研经费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万元/年，县特殊人才津贴1.2万元/年；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②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硕士研究生：安家补助3万元，岗位激励奖0.12万元/年，科研经费1万元/年，县特殊人才津贴0.6万元/年；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③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急需紧缺专业大学本科毕业生：安家补助2万元，县特殊人才津贴0.12万元/年；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④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优先安排入住人才公寓。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71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开江县卫计局</w:t>
            </w: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普通高等教育全日制大学本科及以上学历和学士及以上学位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textAlignment w:val="center"/>
              <w:rPr>
                <w:rFonts w:eastAsia="宋体" w:cs="Times New Roman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具有执业医师资格证（2017年5月31日以后毕业的暂免执业资格证）</w:t>
            </w: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46" w:hRule="atLeast"/>
        </w:trPr>
        <w:tc>
          <w:tcPr>
            <w:tcW w:w="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开江县卫计局</w:t>
            </w: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普通高等教育全日制大学本科及以上学历和学士及以上学位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医学检验、医学检验技术、医学实验技术等相关专业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78" w:hRule="atLeast"/>
        </w:trPr>
        <w:tc>
          <w:tcPr>
            <w:tcW w:w="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开江县卫计局</w:t>
            </w: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普通高等教育全日制大学本科及以上学历和学士及以上学位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护理、护理学等相关专业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textAlignment w:val="center"/>
              <w:rPr>
                <w:rFonts w:eastAsia="宋体" w:cs="Times New Roman"/>
                <w:color w:val="FF00FF"/>
                <w:sz w:val="20"/>
                <w:szCs w:val="20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具有护士执业资格证（2017年5月31日以后毕业的可凭护士资格考试合格证）</w:t>
            </w: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30" w:hRule="atLeast"/>
        </w:trPr>
        <w:tc>
          <w:tcPr>
            <w:tcW w:w="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开江县卫计局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开江县疾控中心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普通高等教育全日制大学本科及以上学历和学士及以上学位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预防医学等相关专业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县级引才政策：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①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博士研究生：安家补助15万元，岗位激励奖0.96万元/年，科研经费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万元/年，县特殊人才津贴1.2万元/年；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②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硕士研究生：安家补助3万元，岗位激励奖0.12万元/年，科研经费1万元/年，县特殊人才津贴0.6万元/年；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③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急需紧缺专业大学本科毕业生：安家补助2万元，县特殊人才津贴0.12万元/年；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④</w:t>
            </w: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优先安排入住人才公寓。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2" w:hRule="atLeast"/>
        </w:trPr>
        <w:tc>
          <w:tcPr>
            <w:tcW w:w="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hint="eastAsia" w:eastAsia="宋体" w:cs="Times New Roman"/>
                <w:color w:val="000000"/>
                <w:sz w:val="22"/>
              </w:rPr>
              <w:t>18</w:t>
            </w:r>
            <w:r>
              <w:rPr>
                <w:rFonts w:eastAsia="宋体" w:cs="Times New Roman"/>
                <w:color w:val="000000"/>
                <w:sz w:val="22"/>
              </w:rPr>
              <w:t>23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开江县卫计局</w:t>
            </w: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sz w:val="22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普通高等教育全日制大学本科及以上学历和学士及以上学位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eastAsia="宋体" w:cs="Times New Roman"/>
                <w:sz w:val="22"/>
              </w:rPr>
            </w:pPr>
          </w:p>
        </w:tc>
        <w:tc>
          <w:tcPr>
            <w:tcW w:w="40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2" w:hRule="atLeast"/>
        </w:trPr>
        <w:tc>
          <w:tcPr>
            <w:tcW w:w="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2"/>
                <w:lang w:bidi="ar"/>
              </w:rPr>
              <w:t>18</w:t>
            </w:r>
            <w:r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开江县卫计局</w:t>
            </w: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eastAsia="宋体" w:cs="Times New Roman"/>
                <w:sz w:val="22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Times New Roman"/>
                <w:kern w:val="0"/>
                <w:sz w:val="20"/>
                <w:szCs w:val="20"/>
                <w:lang w:bidi="ar"/>
              </w:rPr>
              <w:t>普通高等教育全日制大学本科及以上学历和学士及以上学位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  <w:szCs w:val="20"/>
                <w:lang w:bidi="ar"/>
              </w:rPr>
              <w:t>医学影像、医学影像学等相关专业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4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7" w:hRule="atLeast"/>
        </w:trPr>
        <w:tc>
          <w:tcPr>
            <w:tcW w:w="5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hint="eastAsia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0" w:firstLineChars="0"/>
              <w:rPr>
                <w:rFonts w:eastAsia="宋体" w:cs="Times New Roman"/>
                <w:color w:val="000000"/>
                <w:sz w:val="22"/>
              </w:rPr>
            </w:pPr>
          </w:p>
        </w:tc>
      </w:tr>
    </w:tbl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1474" w:bottom="1134" w:left="1588" w:header="0" w:footer="0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97124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ind w:right="360" w:firstLine="36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632818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ind w:firstLine="36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A4"/>
    <w:rsid w:val="000334FD"/>
    <w:rsid w:val="00040384"/>
    <w:rsid w:val="00066275"/>
    <w:rsid w:val="00073640"/>
    <w:rsid w:val="0008703D"/>
    <w:rsid w:val="000B4889"/>
    <w:rsid w:val="000D2AB5"/>
    <w:rsid w:val="000E2CA5"/>
    <w:rsid w:val="000F4AEC"/>
    <w:rsid w:val="00105ACB"/>
    <w:rsid w:val="00110FE6"/>
    <w:rsid w:val="0011292F"/>
    <w:rsid w:val="00117DD0"/>
    <w:rsid w:val="00121D5A"/>
    <w:rsid w:val="00125E6E"/>
    <w:rsid w:val="00133EF7"/>
    <w:rsid w:val="00144B54"/>
    <w:rsid w:val="001474C9"/>
    <w:rsid w:val="00170F10"/>
    <w:rsid w:val="001A6D5A"/>
    <w:rsid w:val="001C04AB"/>
    <w:rsid w:val="001C1E16"/>
    <w:rsid w:val="001C409F"/>
    <w:rsid w:val="001D025C"/>
    <w:rsid w:val="001E440B"/>
    <w:rsid w:val="00203C18"/>
    <w:rsid w:val="00210528"/>
    <w:rsid w:val="00220893"/>
    <w:rsid w:val="00230A1E"/>
    <w:rsid w:val="002312E3"/>
    <w:rsid w:val="002422BF"/>
    <w:rsid w:val="002A7B5B"/>
    <w:rsid w:val="002D4CC5"/>
    <w:rsid w:val="002E0006"/>
    <w:rsid w:val="0030257C"/>
    <w:rsid w:val="00346C0C"/>
    <w:rsid w:val="003624A4"/>
    <w:rsid w:val="00365FB6"/>
    <w:rsid w:val="0037164D"/>
    <w:rsid w:val="003C2648"/>
    <w:rsid w:val="003C36C6"/>
    <w:rsid w:val="003C602A"/>
    <w:rsid w:val="003E7E3B"/>
    <w:rsid w:val="00416D85"/>
    <w:rsid w:val="004256E5"/>
    <w:rsid w:val="004762AB"/>
    <w:rsid w:val="004A541B"/>
    <w:rsid w:val="004D7AE1"/>
    <w:rsid w:val="004E4BF7"/>
    <w:rsid w:val="005158A6"/>
    <w:rsid w:val="005305BF"/>
    <w:rsid w:val="00555154"/>
    <w:rsid w:val="005930BB"/>
    <w:rsid w:val="005C4302"/>
    <w:rsid w:val="005C7707"/>
    <w:rsid w:val="005D04AD"/>
    <w:rsid w:val="005F4D42"/>
    <w:rsid w:val="00600F47"/>
    <w:rsid w:val="0060623B"/>
    <w:rsid w:val="00615C75"/>
    <w:rsid w:val="00654A7D"/>
    <w:rsid w:val="006762B3"/>
    <w:rsid w:val="006A788A"/>
    <w:rsid w:val="006B17E0"/>
    <w:rsid w:val="006C278F"/>
    <w:rsid w:val="006C7841"/>
    <w:rsid w:val="006E110C"/>
    <w:rsid w:val="006F762B"/>
    <w:rsid w:val="00796FC4"/>
    <w:rsid w:val="007D1580"/>
    <w:rsid w:val="007D396A"/>
    <w:rsid w:val="007E3DED"/>
    <w:rsid w:val="007E4F55"/>
    <w:rsid w:val="007E608F"/>
    <w:rsid w:val="007E6517"/>
    <w:rsid w:val="007F06B8"/>
    <w:rsid w:val="00804917"/>
    <w:rsid w:val="00807A2A"/>
    <w:rsid w:val="00815636"/>
    <w:rsid w:val="00822752"/>
    <w:rsid w:val="00834575"/>
    <w:rsid w:val="00841779"/>
    <w:rsid w:val="0084196B"/>
    <w:rsid w:val="0084650D"/>
    <w:rsid w:val="008604C8"/>
    <w:rsid w:val="00870007"/>
    <w:rsid w:val="0087779E"/>
    <w:rsid w:val="008A4122"/>
    <w:rsid w:val="008E1EE5"/>
    <w:rsid w:val="008E46F8"/>
    <w:rsid w:val="008F6C61"/>
    <w:rsid w:val="00901087"/>
    <w:rsid w:val="009048BE"/>
    <w:rsid w:val="00905A50"/>
    <w:rsid w:val="00920057"/>
    <w:rsid w:val="0092379B"/>
    <w:rsid w:val="00950E82"/>
    <w:rsid w:val="0095291A"/>
    <w:rsid w:val="0098755C"/>
    <w:rsid w:val="009B74C9"/>
    <w:rsid w:val="009C5CEA"/>
    <w:rsid w:val="009D0146"/>
    <w:rsid w:val="00A01C87"/>
    <w:rsid w:val="00A115BF"/>
    <w:rsid w:val="00A234BD"/>
    <w:rsid w:val="00A24209"/>
    <w:rsid w:val="00A62CBD"/>
    <w:rsid w:val="00A730FC"/>
    <w:rsid w:val="00AF2622"/>
    <w:rsid w:val="00AF2A55"/>
    <w:rsid w:val="00B019CC"/>
    <w:rsid w:val="00B11FB3"/>
    <w:rsid w:val="00B124BC"/>
    <w:rsid w:val="00B55858"/>
    <w:rsid w:val="00B7097A"/>
    <w:rsid w:val="00BC2123"/>
    <w:rsid w:val="00BC40FA"/>
    <w:rsid w:val="00BE3784"/>
    <w:rsid w:val="00C15DD3"/>
    <w:rsid w:val="00C247D6"/>
    <w:rsid w:val="00C3582A"/>
    <w:rsid w:val="00C6049D"/>
    <w:rsid w:val="00C65543"/>
    <w:rsid w:val="00CC712F"/>
    <w:rsid w:val="00CD2991"/>
    <w:rsid w:val="00D31CD9"/>
    <w:rsid w:val="00D52266"/>
    <w:rsid w:val="00D56C23"/>
    <w:rsid w:val="00D57766"/>
    <w:rsid w:val="00D76C52"/>
    <w:rsid w:val="00D9047B"/>
    <w:rsid w:val="00DA34FF"/>
    <w:rsid w:val="00DA738B"/>
    <w:rsid w:val="00E20D3C"/>
    <w:rsid w:val="00E26E70"/>
    <w:rsid w:val="00E56894"/>
    <w:rsid w:val="00E620CF"/>
    <w:rsid w:val="00E7209F"/>
    <w:rsid w:val="00ED6B4B"/>
    <w:rsid w:val="00ED7A4A"/>
    <w:rsid w:val="00EE6C53"/>
    <w:rsid w:val="00F060BA"/>
    <w:rsid w:val="00F23F7D"/>
    <w:rsid w:val="00F62CB8"/>
    <w:rsid w:val="00FB43A9"/>
    <w:rsid w:val="00FC4388"/>
    <w:rsid w:val="00FE2D12"/>
    <w:rsid w:val="00FF419E"/>
    <w:rsid w:val="2F2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200" w:firstLineChars="20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ind w:firstLine="640"/>
      <w:outlineLvl w:val="1"/>
    </w:pPr>
    <w:rPr>
      <w:rFonts w:eastAsia="方正黑体简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ind w:firstLine="0" w:firstLineChars="0"/>
      <w:outlineLvl w:val="2"/>
    </w:pPr>
    <w:rPr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2"/>
    <w:qFormat/>
    <w:uiPriority w:val="11"/>
    <w:pPr>
      <w:jc w:val="left"/>
      <w:outlineLvl w:val="1"/>
    </w:pPr>
    <w:rPr>
      <w:rFonts w:eastAsia="仿宋_GB2312" w:asciiTheme="majorHAnsi" w:hAnsiTheme="majorHAnsi" w:cstheme="majorBidi"/>
      <w:b/>
      <w:bCs/>
      <w:kern w:val="28"/>
      <w:szCs w:val="32"/>
    </w:rPr>
  </w:style>
  <w:style w:type="paragraph" w:styleId="9">
    <w:name w:val="HTML Preformatted"/>
    <w:basedOn w:val="1"/>
    <w:link w:val="2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next w:val="1"/>
    <w:link w:val="17"/>
    <w:qFormat/>
    <w:uiPriority w:val="10"/>
    <w:pPr>
      <w:outlineLvl w:val="0"/>
    </w:pPr>
    <w:rPr>
      <w:rFonts w:eastAsia="方正楷体简体" w:asciiTheme="majorHAnsi" w:hAnsiTheme="majorHAnsi" w:cstheme="majorBidi"/>
      <w:b/>
      <w:bCs/>
      <w:szCs w:val="32"/>
    </w:rPr>
  </w:style>
  <w:style w:type="character" w:styleId="13">
    <w:name w:val="Emphasis"/>
    <w:basedOn w:val="12"/>
    <w:qFormat/>
    <w:uiPriority w:val="20"/>
  </w:style>
  <w:style w:type="character" w:customStyle="1" w:styleId="15">
    <w:name w:val="标题 1 Char"/>
    <w:basedOn w:val="12"/>
    <w:link w:val="2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16">
    <w:name w:val="标题 2 Char"/>
    <w:basedOn w:val="12"/>
    <w:link w:val="3"/>
    <w:qFormat/>
    <w:uiPriority w:val="9"/>
    <w:rPr>
      <w:rFonts w:eastAsia="方正黑体简体" w:asciiTheme="majorHAnsi" w:hAnsiTheme="majorHAnsi" w:cstheme="majorBidi"/>
      <w:bCs/>
      <w:sz w:val="32"/>
      <w:szCs w:val="32"/>
    </w:rPr>
  </w:style>
  <w:style w:type="character" w:customStyle="1" w:styleId="17">
    <w:name w:val="标题 Char"/>
    <w:basedOn w:val="12"/>
    <w:link w:val="11"/>
    <w:qFormat/>
    <w:uiPriority w:val="10"/>
    <w:rPr>
      <w:rFonts w:eastAsia="方正楷体简体" w:asciiTheme="majorHAnsi" w:hAnsiTheme="majorHAnsi" w:cstheme="majorBidi"/>
      <w:b/>
      <w:bCs/>
      <w:sz w:val="32"/>
      <w:szCs w:val="32"/>
    </w:rPr>
  </w:style>
  <w:style w:type="character" w:customStyle="1" w:styleId="18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20">
    <w:name w:val="标题 3 Char"/>
    <w:basedOn w:val="12"/>
    <w:link w:val="4"/>
    <w:qFormat/>
    <w:uiPriority w:val="9"/>
    <w:rPr>
      <w:rFonts w:ascii="Times New Roman" w:hAnsi="Times New Roman" w:eastAsia="方正仿宋简体"/>
      <w:bCs/>
      <w:sz w:val="32"/>
      <w:szCs w:val="32"/>
    </w:rPr>
  </w:style>
  <w:style w:type="character" w:customStyle="1" w:styleId="21">
    <w:name w:val="HTML 预设格式 Char"/>
    <w:basedOn w:val="12"/>
    <w:link w:val="9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副标题 Char"/>
    <w:basedOn w:val="12"/>
    <w:link w:val="8"/>
    <w:qFormat/>
    <w:uiPriority w:val="11"/>
    <w:rPr>
      <w:rFonts w:eastAsia="仿宋_GB2312"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批注框文本 Char"/>
    <w:basedOn w:val="12"/>
    <w:link w:val="5"/>
    <w:semiHidden/>
    <w:qFormat/>
    <w:uiPriority w:val="99"/>
    <w:rPr>
      <w:rFonts w:ascii="Times New Roman" w:hAnsi="Times New Roman" w:eastAsia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E482AF-8C12-47E4-B91E-DF8644434C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492</Words>
  <Characters>2807</Characters>
  <Lines>23</Lines>
  <Paragraphs>6</Paragraphs>
  <TotalTime>8</TotalTime>
  <ScaleCrop>false</ScaleCrop>
  <LinksUpToDate>false</LinksUpToDate>
  <CharactersWithSpaces>3293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2018-11-09T09:04:00Z</dcterms:created>
  <dc:creator>孙刚波</dc:creator>
  <cp:lastModifiedBy>xuran</cp:lastModifiedBy>
  <dcterms:modified xsi:type="dcterms:W3CDTF">2018-11-13T06:57:00Z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