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方正黑体_GBK" w:hAnsi="方正黑体_GBK" w:eastAsia="方正黑体_GBK" w:cs="方正黑体_GBK"/>
          <w:i w:val="0"/>
          <w:caps w:val="0"/>
          <w:color w:val="444444"/>
          <w:spacing w:val="0"/>
          <w:sz w:val="32"/>
          <w:szCs w:val="32"/>
          <w:shd w:val="clear" w:fill="FFFFFF"/>
        </w:rPr>
        <w:t>选调岗位及人数</w:t>
      </w:r>
    </w:p>
    <w:tbl>
      <w:tblPr>
        <w:tblW w:w="7265" w:type="dxa"/>
        <w:tblInd w:w="9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144"/>
        <w:gridCol w:w="700"/>
        <w:gridCol w:w="1155"/>
        <w:gridCol w:w="1383"/>
        <w:gridCol w:w="1137"/>
        <w:gridCol w:w="9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岗位编 制性质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选调人数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开考比例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职称要求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差额补助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1：3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取得副高及以上职称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面试100%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54C5F"/>
    <w:rsid w:val="75954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2018-11-26T10:01:00Z</dcterms:created>
  <dc:creator>ASUS</dc:creator>
  <cp:lastModifiedBy>ASUS</cp:lastModifiedBy>
  <dcterms:modified xsi:type="dcterms:W3CDTF">2018-11-26T10:01:29Z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