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CF" w:rsidRPr="00AD1FCF" w:rsidRDefault="00AD1FCF" w:rsidP="00AD1FCF">
      <w:pPr>
        <w:spacing w:after="0"/>
        <w:rPr>
          <w:rFonts w:ascii="黑体" w:eastAsia="黑体" w:hAnsi="黑体"/>
          <w:sz w:val="28"/>
          <w:szCs w:val="28"/>
        </w:rPr>
      </w:pPr>
      <w:r w:rsidRPr="00AD1FCF">
        <w:rPr>
          <w:rFonts w:ascii="黑体" w:eastAsia="黑体" w:hAnsi="黑体" w:hint="eastAsia"/>
          <w:kern w:val="2"/>
          <w:sz w:val="28"/>
          <w:szCs w:val="28"/>
        </w:rPr>
        <w:t>附件1</w:t>
      </w:r>
    </w:p>
    <w:p w:rsidR="00AD1FCF" w:rsidRPr="00AD1FCF" w:rsidRDefault="00AD1FCF" w:rsidP="00AD1FCF">
      <w:pPr>
        <w:widowControl w:val="0"/>
        <w:adjustRightInd/>
        <w:snapToGrid/>
        <w:spacing w:beforeLines="50" w:before="156" w:afterLines="50" w:after="156"/>
        <w:jc w:val="center"/>
        <w:rPr>
          <w:rFonts w:ascii="方正小标宋简体" w:eastAsia="方正小标宋简体" w:hAnsi="宋体" w:hint="eastAsia"/>
          <w:kern w:val="2"/>
          <w:sz w:val="36"/>
          <w:szCs w:val="36"/>
        </w:rPr>
      </w:pPr>
      <w:r w:rsidRPr="00AD1FCF">
        <w:rPr>
          <w:rFonts w:ascii="方正小标宋简体" w:eastAsia="方正小标宋简体" w:hAnsi="宋体" w:hint="eastAsia"/>
          <w:kern w:val="2"/>
          <w:sz w:val="36"/>
          <w:szCs w:val="36"/>
        </w:rPr>
        <w:t>新疆财经大学商务学院（库尔勒校区）人才招聘岗位</w:t>
      </w:r>
    </w:p>
    <w:tbl>
      <w:tblPr>
        <w:tblW w:w="524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721"/>
        <w:gridCol w:w="1285"/>
        <w:gridCol w:w="848"/>
        <w:gridCol w:w="1418"/>
        <w:gridCol w:w="2267"/>
      </w:tblGrid>
      <w:tr w:rsidR="00AD1FCF" w:rsidRPr="00EB4E3E" w:rsidTr="00AD1FCF">
        <w:trPr>
          <w:trHeight w:val="638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用人部门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专业/学科方向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学历/职称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岗位要求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 w:val="restar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经济学系</w:t>
            </w:r>
          </w:p>
          <w:p w:rsidR="00AD1FCF" w:rsidRPr="00EB4E3E" w:rsidRDefault="00AD1FCF" w:rsidP="009D6F68">
            <w:pPr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金融/经济学/国际经济与贸易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教学管理岗（</w:t>
            </w:r>
            <w:proofErr w:type="gramStart"/>
            <w:r w:rsidRPr="00EB4E3E">
              <w:rPr>
                <w:rFonts w:ascii="仿宋" w:eastAsia="仿宋" w:hAnsi="仿宋" w:hint="eastAsia"/>
                <w:sz w:val="21"/>
                <w:szCs w:val="21"/>
              </w:rPr>
              <w:t>系部主任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副教授及以上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年龄35-60周岁，学术业绩突出者，年龄可适当放宽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经济学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教学管理岗（</w:t>
            </w:r>
            <w:proofErr w:type="gramStart"/>
            <w:r w:rsidRPr="00EB4E3E">
              <w:rPr>
                <w:rFonts w:ascii="仿宋" w:eastAsia="仿宋" w:hAnsi="仿宋" w:hint="eastAsia"/>
                <w:sz w:val="21"/>
                <w:szCs w:val="21"/>
              </w:rPr>
              <w:t>系部副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主任）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副教授及以上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35-60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周岁，学术业绩突出者，年龄可适当放宽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 w:val="restar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管理学系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/会计学系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会计学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教学管理岗（</w:t>
            </w:r>
            <w:proofErr w:type="gramStart"/>
            <w:r w:rsidRPr="00EB4E3E">
              <w:rPr>
                <w:rFonts w:ascii="仿宋" w:eastAsia="仿宋" w:hAnsi="仿宋" w:hint="eastAsia"/>
                <w:sz w:val="21"/>
                <w:szCs w:val="21"/>
              </w:rPr>
              <w:t>系部主任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副教授及以上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35-60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周岁，学术业绩突出者，年龄可适当放宽</w:t>
            </w:r>
          </w:p>
        </w:tc>
        <w:bookmarkStart w:id="0" w:name="_GoBack"/>
        <w:bookmarkEnd w:id="0"/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教学管理岗（</w:t>
            </w:r>
            <w:proofErr w:type="gramStart"/>
            <w:r w:rsidRPr="00EB4E3E">
              <w:rPr>
                <w:rFonts w:ascii="仿宋" w:eastAsia="仿宋" w:hAnsi="仿宋" w:hint="eastAsia"/>
                <w:sz w:val="21"/>
                <w:szCs w:val="21"/>
              </w:rPr>
              <w:t>系部副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主任）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副教授及以上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35-60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周岁，学术业绩突出者，年龄可适当放宽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公共基础</w:t>
            </w: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gramStart"/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思政</w:t>
            </w:r>
            <w:proofErr w:type="gramEnd"/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/文学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教学管理岗（</w:t>
            </w:r>
            <w:proofErr w:type="gramStart"/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系部副</w:t>
            </w:r>
            <w:proofErr w:type="gramEnd"/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主任）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副教授及以上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35-60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周岁，学术业绩突出者，年龄可适当放宽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 w:val="restar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公共基础</w:t>
            </w: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马克思主义基本原理/马克思主义中国化研究/思想政治教育/中国近现代史/马克思主义民族理论与政策/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心理学/美术/音乐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9（其中少数民族3人）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硕士35岁以下，博士40岁以下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少数民族语言文学（维吾尔语）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数学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10（其中少数民族2人）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英语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新闻学（新闻实务）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法学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公共卫生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6（其中少数民族2人）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 w:val="restar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管理</w:t>
            </w: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</w:t>
            </w:r>
            <w:r w:rsidRPr="00EB4E3E">
              <w:rPr>
                <w:rFonts w:ascii="仿宋" w:eastAsia="仿宋" w:hAnsi="仿宋"/>
                <w:color w:val="000000"/>
                <w:sz w:val="21"/>
                <w:szCs w:val="21"/>
              </w:rPr>
              <w:t>系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4（其中计算机专业2人）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人力资源管理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计算机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 w:val="restar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经济学系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经济学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金融学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数量经济学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统计学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国际经济与贸易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税收学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AD1FCF">
            <w:pPr>
              <w:adjustRightInd/>
              <w:snapToGrid/>
              <w:spacing w:after="0"/>
              <w:ind w:leftChars="100" w:left="22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同上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 w:val="restar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学院办公室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/>
                <w:sz w:val="21"/>
                <w:szCs w:val="21"/>
              </w:rPr>
              <w:t>中文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/文秘/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新闻等相关专业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行政（秘书岗）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硕士及以上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中共党员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，年龄30周岁以下，条件优秀者学历可放宽到本科（二本）；</w:t>
            </w:r>
          </w:p>
          <w:p w:rsidR="00AD1FCF" w:rsidRPr="00EB4E3E" w:rsidRDefault="00AD1FCF" w:rsidP="009D6F6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/>
                <w:sz w:val="21"/>
                <w:szCs w:val="21"/>
              </w:rPr>
              <w:t>2.具备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较强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的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公文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写作能力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、组织管理能力、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沟通协调能力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；</w:t>
            </w:r>
          </w:p>
          <w:p w:rsidR="00AD1FCF" w:rsidRPr="00EB4E3E" w:rsidRDefault="00AD1FCF" w:rsidP="009D6F6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.具备较强的计算机应用能力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，熟练掌握office办公软件；</w:t>
            </w:r>
          </w:p>
          <w:p w:rsidR="00AD1FCF" w:rsidRPr="00EB4E3E" w:rsidRDefault="00AD1FCF" w:rsidP="009D6F6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.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有党政办公室工作经验优先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/>
                <w:sz w:val="21"/>
                <w:szCs w:val="21"/>
              </w:rPr>
              <w:t>中文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/文秘/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新闻等相关专业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行政（行政岗）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中共党员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（含预备党员），年龄30周岁以下；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/>
                <w:sz w:val="21"/>
                <w:szCs w:val="21"/>
              </w:rPr>
              <w:t>2.具备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较好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的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公文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写作能力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及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沟通协调能力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.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熟练掌握office办公软件。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招生办公室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中文/新闻/计算机相关专业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行政（招生岗）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中共党员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（含预备党员），年龄30周岁以下；</w:t>
            </w:r>
          </w:p>
          <w:p w:rsidR="00AD1FCF" w:rsidRPr="00EB4E3E" w:rsidRDefault="00AD1FCF" w:rsidP="009D6F6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/>
                <w:sz w:val="21"/>
                <w:szCs w:val="21"/>
              </w:rPr>
              <w:t>2.具备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较强的语言文字表达能力、组织管理能力及对外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沟通协调能力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；</w:t>
            </w:r>
          </w:p>
          <w:p w:rsidR="00AD1FCF" w:rsidRPr="00EB4E3E" w:rsidRDefault="00AD1FCF" w:rsidP="009D6F68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.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熟练掌握office办公软件。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党群工作部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EB4E3E">
              <w:rPr>
                <w:rFonts w:ascii="仿宋" w:eastAsia="仿宋" w:hAnsi="仿宋"/>
                <w:sz w:val="21"/>
                <w:szCs w:val="21"/>
              </w:rPr>
              <w:t>思政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中文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新闻等相关专业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1.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中共党员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，年龄30周岁以下；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/>
                <w:sz w:val="21"/>
                <w:szCs w:val="21"/>
              </w:rPr>
              <w:t>2.具备突出的写作能力、较好的组织策划能力和有效的沟通协调能力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>.具备较强的计算机应用能力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 xml:space="preserve">.有党务工作经验者优先考虑 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教务处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计算机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男，年龄30周岁以下，能熟练掌握计算机办公软件。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人力资源部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人力资源管理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年龄30周岁以下；从事过人力资源相关工作者、有人力资源</w:t>
            </w:r>
            <w:proofErr w:type="gramStart"/>
            <w:r w:rsidRPr="00EB4E3E">
              <w:rPr>
                <w:rFonts w:ascii="仿宋" w:eastAsia="仿宋" w:hAnsi="仿宋" w:hint="eastAsia"/>
                <w:sz w:val="21"/>
                <w:szCs w:val="21"/>
              </w:rPr>
              <w:t>管理师证优先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学生处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行政管理、法学、马克思理论相关专业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行政（</w:t>
            </w:r>
            <w:proofErr w:type="gramStart"/>
            <w:r w:rsidRPr="00EB4E3E">
              <w:rPr>
                <w:rFonts w:ascii="仿宋" w:eastAsia="仿宋" w:hAnsi="仿宋" w:hint="eastAsia"/>
                <w:sz w:val="21"/>
                <w:szCs w:val="21"/>
              </w:rPr>
              <w:t>思政岗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男，中共党员，年龄30周岁以下；具有较强的写作能力、语言表达能力。</w:t>
            </w:r>
          </w:p>
        </w:tc>
      </w:tr>
      <w:tr w:rsidR="00AD1FCF" w:rsidRPr="00EB4E3E" w:rsidTr="00AD1FCF">
        <w:trPr>
          <w:trHeight w:val="1139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智慧化校园管理处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计算机相关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 xml:space="preserve">非应届毕业生，年龄35周岁以下；需要具备项目管理实施经验，具备数据库管理维护及开发能力。   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 w:val="restar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保卫处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行政（综合岗）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女，年龄30周岁以下，少数民族；具有较强的写作能力和语言表达</w:t>
            </w:r>
            <w:r w:rsidRPr="00EB4E3E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能力；能吃苦耐劳，责任心强，具有团队协作精神；（党员、退伍军人优先）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vMerge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行政（治安管理岗）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 w:rsidRPr="00EB4E3E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男，年龄30周岁以下；少数民族；具有较强的写作能力和语言表达能力；能吃苦耐劳，责任心强，具有团队协作精神；（党员、退伍军人优先）</w:t>
            </w:r>
          </w:p>
        </w:tc>
      </w:tr>
      <w:tr w:rsidR="00AD1FCF" w:rsidRPr="00EB4E3E" w:rsidTr="00AD1FCF">
        <w:trPr>
          <w:trHeight w:val="638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各系部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行政（</w:t>
            </w:r>
            <w:proofErr w:type="gramStart"/>
            <w:r w:rsidRPr="00EB4E3E">
              <w:rPr>
                <w:rFonts w:ascii="仿宋" w:eastAsia="仿宋" w:hAnsi="仿宋" w:hint="eastAsia"/>
                <w:sz w:val="21"/>
                <w:szCs w:val="21"/>
              </w:rPr>
              <w:t>系部秘书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年龄25周岁以下；能熟练掌握计算机办公软件和较强的公文写作及语言表达能力；具有一定的沟通协调能力。</w:t>
            </w:r>
          </w:p>
        </w:tc>
      </w:tr>
      <w:tr w:rsidR="00AD1FCF" w:rsidRPr="00EB4E3E" w:rsidTr="00AD1FCF">
        <w:trPr>
          <w:trHeight w:val="4906"/>
          <w:jc w:val="center"/>
        </w:trPr>
        <w:tc>
          <w:tcPr>
            <w:tcW w:w="77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各系部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71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辅导员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794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本科及以上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1.中共（预备）党员，年龄30周岁以下，条件优秀者学历可放宽到本科；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2.具有较强的文字写作能力、实际工作能力和语言表达能力；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3.热爱辅导员工作，关爱学生，有较强的责任心和奉献精神；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4.善于与学生沟通，有较强的应急协调能力；</w:t>
            </w:r>
          </w:p>
          <w:p w:rsidR="00AD1FCF" w:rsidRPr="00EB4E3E" w:rsidRDefault="00AD1FCF" w:rsidP="009D6F68">
            <w:pPr>
              <w:spacing w:after="120"/>
              <w:rPr>
                <w:rFonts w:ascii="仿宋" w:eastAsia="仿宋" w:hAnsi="仿宋"/>
                <w:sz w:val="21"/>
                <w:szCs w:val="21"/>
              </w:rPr>
            </w:pPr>
            <w:r w:rsidRPr="00EB4E3E">
              <w:rPr>
                <w:rFonts w:ascii="仿宋" w:eastAsia="仿宋" w:hAnsi="仿宋" w:hint="eastAsia"/>
                <w:sz w:val="21"/>
                <w:szCs w:val="21"/>
              </w:rPr>
              <w:t>5.在高等教育阶段担任过校级或院系主要学生干部，具有辅导员工</w:t>
            </w:r>
            <w:proofErr w:type="gramStart"/>
            <w:r w:rsidRPr="00EB4E3E">
              <w:rPr>
                <w:rFonts w:ascii="仿宋" w:eastAsia="仿宋" w:hAnsi="仿宋" w:hint="eastAsia"/>
                <w:sz w:val="21"/>
                <w:szCs w:val="21"/>
              </w:rPr>
              <w:t>作经历</w:t>
            </w:r>
            <w:proofErr w:type="gramEnd"/>
            <w:r w:rsidRPr="00EB4E3E">
              <w:rPr>
                <w:rFonts w:ascii="仿宋" w:eastAsia="仿宋" w:hAnsi="仿宋" w:hint="eastAsia"/>
                <w:sz w:val="21"/>
                <w:szCs w:val="21"/>
              </w:rPr>
              <w:t>或少数民族学生管理经验者或者拥有心理咨询师、就业指导师等职业资格证书者优先。</w:t>
            </w:r>
          </w:p>
        </w:tc>
      </w:tr>
    </w:tbl>
    <w:p w:rsidR="00AD1FCF" w:rsidRPr="00EB4E3E" w:rsidRDefault="00AD1FCF" w:rsidP="00AD1FCF">
      <w:pPr>
        <w:widowControl w:val="0"/>
        <w:adjustRightInd/>
        <w:spacing w:after="0"/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</w:p>
    <w:p w:rsidR="00AD1FCF" w:rsidRDefault="00AD1FCF" w:rsidP="00AD1FCF">
      <w:pPr>
        <w:widowControl w:val="0"/>
        <w:adjustRightInd/>
        <w:spacing w:after="0"/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</w:p>
    <w:p w:rsidR="00AD1FCF" w:rsidRDefault="00AD1FCF" w:rsidP="00AD1FCF">
      <w:pPr>
        <w:widowControl w:val="0"/>
        <w:adjustRightInd/>
        <w:spacing w:after="0"/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</w:p>
    <w:p w:rsidR="00AD1FCF" w:rsidRDefault="00AD1FCF" w:rsidP="00AD1FCF">
      <w:pPr>
        <w:widowControl w:val="0"/>
        <w:adjustRightInd/>
        <w:spacing w:after="0"/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</w:p>
    <w:p w:rsidR="00AD1FCF" w:rsidRDefault="00AD1FCF" w:rsidP="00AD1FCF">
      <w:pPr>
        <w:widowControl w:val="0"/>
        <w:adjustRightInd/>
        <w:spacing w:after="0"/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</w:p>
    <w:p w:rsidR="00AD1FCF" w:rsidRDefault="00AD1FCF" w:rsidP="00AD1FCF">
      <w:pPr>
        <w:widowControl w:val="0"/>
        <w:adjustRightInd/>
        <w:spacing w:after="0"/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</w:p>
    <w:p w:rsidR="00AD1FCF" w:rsidRDefault="00AD1FCF" w:rsidP="00AD1FCF">
      <w:pPr>
        <w:widowControl w:val="0"/>
        <w:adjustRightInd/>
        <w:spacing w:after="0"/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</w:p>
    <w:p w:rsidR="00CE5F77" w:rsidRPr="00AD1FCF" w:rsidRDefault="00CE5F77"/>
    <w:sectPr w:rsidR="00CE5F77" w:rsidRPr="00AD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DF" w:rsidRDefault="00B648DF" w:rsidP="00AD1FCF">
      <w:pPr>
        <w:spacing w:after="0"/>
      </w:pPr>
      <w:r>
        <w:separator/>
      </w:r>
    </w:p>
  </w:endnote>
  <w:endnote w:type="continuationSeparator" w:id="0">
    <w:p w:rsidR="00B648DF" w:rsidRDefault="00B648DF" w:rsidP="00AD1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DF" w:rsidRDefault="00B648DF" w:rsidP="00AD1FCF">
      <w:pPr>
        <w:spacing w:after="0"/>
      </w:pPr>
      <w:r>
        <w:separator/>
      </w:r>
    </w:p>
  </w:footnote>
  <w:footnote w:type="continuationSeparator" w:id="0">
    <w:p w:rsidR="00B648DF" w:rsidRDefault="00B648DF" w:rsidP="00AD1F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F9"/>
    <w:rsid w:val="005316FE"/>
    <w:rsid w:val="00575DF9"/>
    <w:rsid w:val="0058767A"/>
    <w:rsid w:val="008F34CE"/>
    <w:rsid w:val="00974959"/>
    <w:rsid w:val="00A26A80"/>
    <w:rsid w:val="00AD1FCF"/>
    <w:rsid w:val="00B648DF"/>
    <w:rsid w:val="00CE5F77"/>
    <w:rsid w:val="00D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C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F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F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C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F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F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唐春梅</dc:creator>
  <cp:keywords/>
  <dc:description/>
  <cp:lastModifiedBy>唐春梅</cp:lastModifiedBy>
  <cp:revision>2</cp:revision>
  <dcterms:created xsi:type="dcterms:W3CDTF">2018-03-19T09:22:00Z</dcterms:created>
  <dcterms:modified xsi:type="dcterms:W3CDTF">2018-03-19T09:26:00Z</dcterms:modified>
</cp:coreProperties>
</file>